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rawings/drawing3.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1938709056"/>
        <w:docPartObj>
          <w:docPartGallery w:val="Cover Pages"/>
          <w:docPartUnique/>
        </w:docPartObj>
      </w:sdtPr>
      <w:sdtEndPr>
        <w:rPr>
          <w:rFonts w:asciiTheme="minorHAnsi" w:eastAsiaTheme="minorEastAsia" w:hAnsiTheme="minorHAnsi" w:cstheme="minorBidi"/>
          <w:caps w:val="0"/>
          <w:color w:val="00B050"/>
        </w:rPr>
      </w:sdtEndPr>
      <w:sdtContent>
        <w:tbl>
          <w:tblPr>
            <w:tblW w:w="5000" w:type="pct"/>
            <w:jc w:val="center"/>
            <w:tblLook w:val="04A0" w:firstRow="1" w:lastRow="0" w:firstColumn="1" w:lastColumn="0" w:noHBand="0" w:noVBand="1"/>
          </w:tblPr>
          <w:tblGrid>
            <w:gridCol w:w="9576"/>
          </w:tblGrid>
          <w:tr w:rsidR="00DA6159" w:rsidTr="00DA6159">
            <w:trPr>
              <w:trHeight w:val="2880"/>
              <w:jc w:val="center"/>
            </w:trPr>
            <w:sdt>
              <w:sdtPr>
                <w:rPr>
                  <w:rFonts w:asciiTheme="majorHAnsi" w:eastAsiaTheme="majorEastAsia" w:hAnsiTheme="majorHAnsi" w:cstheme="majorBidi"/>
                  <w:caps/>
                </w:rPr>
                <w:alias w:val="Company"/>
                <w:id w:val="15524243"/>
                <w:dataBinding w:prefixMappings="xmlns:ns0='http://schemas.openxmlformats.org/officeDocument/2006/extended-properties'" w:xpath="/ns0:Properties[1]/ns0:Company[1]" w:storeItemID="{6668398D-A668-4E3E-A5EB-62B293D839F1}"/>
                <w:text/>
              </w:sdtPr>
              <w:sdtEndPr>
                <w:rPr>
                  <w:color w:val="006600"/>
                </w:rPr>
              </w:sdtEndPr>
              <w:sdtContent>
                <w:tc>
                  <w:tcPr>
                    <w:tcW w:w="5000" w:type="pct"/>
                  </w:tcPr>
                  <w:p w:rsidR="00DA6159" w:rsidRDefault="00C86804" w:rsidP="00DA6159">
                    <w:pPr>
                      <w:pStyle w:val="NoSpacing"/>
                      <w:jc w:val="center"/>
                      <w:rPr>
                        <w:rFonts w:asciiTheme="majorHAnsi" w:eastAsiaTheme="majorEastAsia" w:hAnsiTheme="majorHAnsi" w:cstheme="majorBidi"/>
                        <w:caps/>
                      </w:rPr>
                    </w:pPr>
                    <w:r w:rsidRPr="00DA6159">
                      <w:rPr>
                        <w:rFonts w:asciiTheme="majorHAnsi" w:eastAsiaTheme="majorEastAsia" w:hAnsiTheme="majorHAnsi" w:cstheme="majorBidi"/>
                        <w:caps/>
                        <w:color w:val="006600"/>
                        <w:lang w:val="en-IE"/>
                      </w:rPr>
                      <w:t>Ballymun alcohol community outreach ltd. company number :</w:t>
                    </w:r>
                    <w:r>
                      <w:rPr>
                        <w:rFonts w:asciiTheme="majorHAnsi" w:eastAsiaTheme="majorEastAsia" w:hAnsiTheme="majorHAnsi" w:cstheme="majorBidi"/>
                        <w:caps/>
                        <w:color w:val="006600"/>
                        <w:lang w:val="en-IE"/>
                      </w:rPr>
                      <w:t xml:space="preserve"> 507805</w:t>
                    </w:r>
                  </w:p>
                </w:tc>
              </w:sdtContent>
            </w:sdt>
          </w:tr>
          <w:tr w:rsidR="00DA6159" w:rsidTr="00DA6159">
            <w:trPr>
              <w:trHeight w:val="1440"/>
              <w:jc w:val="center"/>
            </w:trPr>
            <w:sdt>
              <w:sdtPr>
                <w:rPr>
                  <w:rFonts w:ascii="Century Gothic" w:eastAsia="Meiryo" w:hAnsi="Century Gothic" w:cs="Times New Roman"/>
                  <w:color w:val="00B050"/>
                  <w:kern w:val="28"/>
                  <w:sz w:val="72"/>
                  <w:szCs w:val="72"/>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vAlign w:val="center"/>
                  </w:tcPr>
                  <w:p w:rsidR="00DA6159" w:rsidRDefault="00DA6159">
                    <w:pPr>
                      <w:pStyle w:val="NoSpacing"/>
                      <w:jc w:val="center"/>
                      <w:rPr>
                        <w:rFonts w:asciiTheme="majorHAnsi" w:eastAsiaTheme="majorEastAsia" w:hAnsiTheme="majorHAnsi" w:cstheme="majorBidi"/>
                        <w:sz w:val="80"/>
                        <w:szCs w:val="80"/>
                      </w:rPr>
                    </w:pPr>
                    <w:r w:rsidRPr="00DA6159">
                      <w:rPr>
                        <w:rFonts w:ascii="Century Gothic" w:eastAsia="Meiryo" w:hAnsi="Century Gothic" w:cs="Times New Roman"/>
                        <w:color w:val="00B050"/>
                        <w:kern w:val="28"/>
                        <w:sz w:val="72"/>
                        <w:szCs w:val="72"/>
                      </w:rPr>
                      <w:t>Cumulative Annual Reports 2012-2014</w:t>
                    </w:r>
                  </w:p>
                </w:tc>
              </w:sdtContent>
            </w:sdt>
          </w:tr>
          <w:tr w:rsidR="00DA6159" w:rsidTr="00DA6159">
            <w:trPr>
              <w:trHeight w:val="720"/>
              <w:jc w:val="center"/>
            </w:trPr>
            <w:tc>
              <w:tcPr>
                <w:tcW w:w="5000" w:type="pct"/>
                <w:vAlign w:val="center"/>
              </w:tcPr>
              <w:p w:rsidR="00DA6159" w:rsidRDefault="00DA6159">
                <w:pPr>
                  <w:pStyle w:val="NoSpacing"/>
                  <w:jc w:val="center"/>
                  <w:rPr>
                    <w:rFonts w:asciiTheme="majorHAnsi" w:eastAsiaTheme="majorEastAsia" w:hAnsiTheme="majorHAnsi" w:cstheme="majorBidi"/>
                    <w:sz w:val="44"/>
                    <w:szCs w:val="44"/>
                  </w:rPr>
                </w:pPr>
              </w:p>
            </w:tc>
          </w:tr>
          <w:tr w:rsidR="00DA6159">
            <w:trPr>
              <w:trHeight w:val="360"/>
              <w:jc w:val="center"/>
            </w:trPr>
            <w:tc>
              <w:tcPr>
                <w:tcW w:w="5000" w:type="pct"/>
                <w:vAlign w:val="center"/>
              </w:tcPr>
              <w:p w:rsidR="00DA6159" w:rsidRDefault="00DA6159">
                <w:pPr>
                  <w:pStyle w:val="NoSpacing"/>
                  <w:jc w:val="center"/>
                </w:pPr>
              </w:p>
            </w:tc>
          </w:tr>
          <w:tr w:rsidR="00DA6159">
            <w:trPr>
              <w:trHeight w:val="360"/>
              <w:jc w:val="center"/>
            </w:trPr>
            <w:tc>
              <w:tcPr>
                <w:tcW w:w="5000" w:type="pct"/>
                <w:vAlign w:val="center"/>
              </w:tcPr>
              <w:p w:rsidR="00DA6159" w:rsidRDefault="00DA6159">
                <w:pPr>
                  <w:pStyle w:val="NoSpacing"/>
                  <w:jc w:val="center"/>
                  <w:rPr>
                    <w:b/>
                    <w:bCs/>
                  </w:rPr>
                </w:pPr>
              </w:p>
            </w:tc>
          </w:tr>
          <w:tr w:rsidR="00DA6159">
            <w:trPr>
              <w:trHeight w:val="360"/>
              <w:jc w:val="center"/>
            </w:trPr>
            <w:tc>
              <w:tcPr>
                <w:tcW w:w="5000" w:type="pct"/>
                <w:vAlign w:val="center"/>
              </w:tcPr>
              <w:p w:rsidR="00DA6159" w:rsidRDefault="00DA6159" w:rsidP="00DA6159">
                <w:pPr>
                  <w:pStyle w:val="NoSpacing"/>
                  <w:jc w:val="center"/>
                  <w:rPr>
                    <w:b/>
                    <w:bCs/>
                  </w:rPr>
                </w:pPr>
              </w:p>
            </w:tc>
          </w:tr>
        </w:tbl>
        <w:p w:rsidR="00DA6159" w:rsidRDefault="00DA6159"/>
        <w:p w:rsidR="00DA6159" w:rsidRDefault="00C86804" w:rsidP="00C86804">
          <w:pPr>
            <w:jc w:val="center"/>
          </w:pPr>
          <w:r>
            <w:rPr>
              <w:noProof/>
              <w:color w:val="00B050"/>
              <w:lang w:val="en-IE" w:eastAsia="en-IE"/>
            </w:rPr>
            <w:drawing>
              <wp:inline distT="0" distB="0" distL="0" distR="0" wp14:anchorId="41B95E86" wp14:editId="7F6C03F5">
                <wp:extent cx="2995684" cy="162408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9">
                          <a:extLst>
                            <a:ext uri="{28A0092B-C50C-407E-A947-70E740481C1C}">
                              <a14:useLocalDpi xmlns:a14="http://schemas.microsoft.com/office/drawing/2010/main" val="0"/>
                            </a:ext>
                          </a:extLst>
                        </a:blip>
                        <a:stretch>
                          <a:fillRect/>
                        </a:stretch>
                      </pic:blipFill>
                      <pic:spPr>
                        <a:xfrm>
                          <a:off x="0" y="0"/>
                          <a:ext cx="2996081" cy="1624298"/>
                        </a:xfrm>
                        <a:prstGeom prst="rect">
                          <a:avLst/>
                        </a:prstGeom>
                      </pic:spPr>
                    </pic:pic>
                  </a:graphicData>
                </a:graphic>
              </wp:inline>
            </w:drawing>
          </w:r>
        </w:p>
        <w:tbl>
          <w:tblPr>
            <w:tblpPr w:leftFromText="187" w:rightFromText="187" w:horzAnchor="margin" w:tblpXSpec="center" w:tblpYSpec="bottom"/>
            <w:tblW w:w="5000" w:type="pct"/>
            <w:tblLook w:val="04A0" w:firstRow="1" w:lastRow="0" w:firstColumn="1" w:lastColumn="0" w:noHBand="0" w:noVBand="1"/>
          </w:tblPr>
          <w:tblGrid>
            <w:gridCol w:w="9576"/>
          </w:tblGrid>
          <w:tr w:rsidR="00DA6159">
            <w:tc>
              <w:tcPr>
                <w:tcW w:w="5000" w:type="pct"/>
              </w:tcPr>
              <w:p w:rsidR="00DA6159" w:rsidRDefault="00DA6159">
                <w:pPr>
                  <w:pStyle w:val="NoSpacing"/>
                </w:pPr>
              </w:p>
            </w:tc>
          </w:tr>
        </w:tbl>
        <w:p w:rsidR="00DA6159" w:rsidRDefault="00DA6159"/>
        <w:p w:rsidR="00DA6159" w:rsidRDefault="00DA6159">
          <w:pPr>
            <w:rPr>
              <w:rFonts w:asciiTheme="majorHAnsi" w:eastAsiaTheme="majorEastAsia" w:hAnsiTheme="majorHAnsi" w:cstheme="majorBidi"/>
              <w:color w:val="00B050"/>
              <w:kern w:val="28"/>
              <w:sz w:val="72"/>
              <w:szCs w:val="72"/>
            </w:rPr>
          </w:pPr>
          <w:r>
            <w:rPr>
              <w:color w:val="00B050"/>
            </w:rPr>
            <w:br w:type="page"/>
          </w:r>
        </w:p>
      </w:sdtContent>
    </w:sdt>
    <w:p w:rsidR="00F36032" w:rsidRPr="006238A8" w:rsidRDefault="00511F05" w:rsidP="00F36032">
      <w:pPr>
        <w:pStyle w:val="Heading1"/>
        <w:rPr>
          <w:color w:val="00B050"/>
        </w:rPr>
      </w:pPr>
      <w:r w:rsidRPr="006238A8">
        <w:rPr>
          <w:color w:val="00B050"/>
        </w:rPr>
        <w:lastRenderedPageBreak/>
        <w:t>Á</w:t>
      </w:r>
      <w:r w:rsidR="00F36032" w:rsidRPr="006238A8">
        <w:rPr>
          <w:color w:val="00B050"/>
        </w:rPr>
        <w:t>it Linn: a brief history</w:t>
      </w:r>
    </w:p>
    <w:p w:rsidR="00F36032" w:rsidRPr="00F36032" w:rsidRDefault="00F36032" w:rsidP="00F36032"/>
    <w:p w:rsidR="00F36032" w:rsidRDefault="00511F05" w:rsidP="00F36032">
      <w:pPr>
        <w:rPr>
          <w:sz w:val="20"/>
        </w:rPr>
      </w:pPr>
      <w:r>
        <w:rPr>
          <w:sz w:val="20"/>
        </w:rPr>
        <w:t>Áit L</w:t>
      </w:r>
      <w:r w:rsidR="00F36032" w:rsidRPr="00F36032">
        <w:rPr>
          <w:sz w:val="20"/>
        </w:rPr>
        <w:t>inn was started in 2012 in response to a request f</w:t>
      </w:r>
      <w:r w:rsidR="0044583D">
        <w:rPr>
          <w:sz w:val="20"/>
        </w:rPr>
        <w:t>rom Ballymun regeneration Ltd. t</w:t>
      </w:r>
      <w:r w:rsidR="00F36032" w:rsidRPr="00F36032">
        <w:rPr>
          <w:sz w:val="20"/>
        </w:rPr>
        <w:t>o offer alcohol treatment to support tenancies and generally improve the Ballymun environment in relation to problem drinking.</w:t>
      </w:r>
    </w:p>
    <w:p w:rsidR="00F36032" w:rsidRDefault="00F36032" w:rsidP="00F36032">
      <w:pPr>
        <w:rPr>
          <w:sz w:val="20"/>
        </w:rPr>
      </w:pPr>
      <w:r>
        <w:rPr>
          <w:sz w:val="20"/>
        </w:rPr>
        <w:t>In the initial period the project offered individual counselling and psychoeducational</w:t>
      </w:r>
      <w:r w:rsidR="00243DA6">
        <w:rPr>
          <w:sz w:val="20"/>
        </w:rPr>
        <w:t xml:space="preserve"> groups</w:t>
      </w:r>
      <w:r>
        <w:rPr>
          <w:sz w:val="20"/>
        </w:rPr>
        <w:t xml:space="preserve"> in two temporary settings in the community.  Then</w:t>
      </w:r>
      <w:r w:rsidR="00511F05">
        <w:rPr>
          <w:sz w:val="20"/>
        </w:rPr>
        <w:t>,</w:t>
      </w:r>
      <w:r>
        <w:rPr>
          <w:sz w:val="20"/>
        </w:rPr>
        <w:t xml:space="preserve"> in November 2012 the project moved into its own premises and the real work began.  Initially the project offered a service to the community for three days per week but this developed rapidly and by mid-July 2013, the project was operating five days. Then in 2014, the project had developed to the degree that there were groups and individual counselling sessions daily.</w:t>
      </w:r>
    </w:p>
    <w:p w:rsidR="00F36032" w:rsidRPr="006238A8" w:rsidRDefault="00F36032" w:rsidP="00F36032">
      <w:pPr>
        <w:pStyle w:val="Heading1"/>
        <w:rPr>
          <w:color w:val="00B050"/>
        </w:rPr>
      </w:pPr>
      <w:r w:rsidRPr="006238A8">
        <w:rPr>
          <w:color w:val="00B050"/>
        </w:rPr>
        <w:t>What we do:</w:t>
      </w:r>
    </w:p>
    <w:p w:rsidR="00F36032" w:rsidRDefault="00F36032" w:rsidP="00F36032"/>
    <w:p w:rsidR="00F36032" w:rsidRPr="00753200" w:rsidRDefault="00753200" w:rsidP="00F36032">
      <w:pPr>
        <w:rPr>
          <w:sz w:val="20"/>
          <w:szCs w:val="20"/>
        </w:rPr>
      </w:pPr>
      <w:r w:rsidRPr="00753200">
        <w:rPr>
          <w:sz w:val="20"/>
          <w:szCs w:val="20"/>
        </w:rPr>
        <w:t>The project takes referrals of clients who are affected by their own or a family member’s problem alcohol use from individuals, G.P</w:t>
      </w:r>
      <w:r w:rsidR="008A68AB">
        <w:rPr>
          <w:sz w:val="20"/>
          <w:szCs w:val="20"/>
        </w:rPr>
        <w:t>.</w:t>
      </w:r>
      <w:r w:rsidRPr="00753200">
        <w:rPr>
          <w:sz w:val="20"/>
          <w:szCs w:val="20"/>
        </w:rPr>
        <w:t xml:space="preserve">’s, A.A., hospitals and other community groups. </w:t>
      </w:r>
    </w:p>
    <w:p w:rsidR="00753200" w:rsidRDefault="00753200" w:rsidP="00F36032">
      <w:pPr>
        <w:rPr>
          <w:sz w:val="20"/>
          <w:szCs w:val="20"/>
        </w:rPr>
      </w:pPr>
      <w:r w:rsidRPr="00753200">
        <w:rPr>
          <w:sz w:val="20"/>
          <w:szCs w:val="20"/>
        </w:rPr>
        <w:t xml:space="preserve">The </w:t>
      </w:r>
      <w:r>
        <w:rPr>
          <w:sz w:val="20"/>
          <w:szCs w:val="20"/>
        </w:rPr>
        <w:t xml:space="preserve">problem drinker is supported to make a decision about their drinking and </w:t>
      </w:r>
      <w:r w:rsidR="00243DA6">
        <w:rPr>
          <w:sz w:val="20"/>
          <w:szCs w:val="20"/>
        </w:rPr>
        <w:t>into</w:t>
      </w:r>
      <w:r>
        <w:rPr>
          <w:sz w:val="20"/>
          <w:szCs w:val="20"/>
        </w:rPr>
        <w:t xml:space="preserve"> the detoxification process.  They are invited to join twelve weeks of psychoeducational sessions and are then accepted into a treatment group which has a minimum duration of twenty six weeks.  Depending on the client’s own issues and willingness, there is then a further twenty six weeks of aftercare. </w:t>
      </w:r>
    </w:p>
    <w:p w:rsidR="00F36032" w:rsidRDefault="00753200" w:rsidP="00F36032">
      <w:pPr>
        <w:rPr>
          <w:sz w:val="20"/>
          <w:szCs w:val="20"/>
        </w:rPr>
      </w:pPr>
      <w:r>
        <w:rPr>
          <w:sz w:val="20"/>
          <w:szCs w:val="20"/>
        </w:rPr>
        <w:t xml:space="preserve">The client actively participates in deciding what is most appropriate for them and can leave at any point in the process, but </w:t>
      </w:r>
      <w:r w:rsidR="00243DA6">
        <w:rPr>
          <w:sz w:val="20"/>
          <w:szCs w:val="20"/>
        </w:rPr>
        <w:t xml:space="preserve">most clients </w:t>
      </w:r>
      <w:r>
        <w:rPr>
          <w:sz w:val="20"/>
          <w:szCs w:val="20"/>
        </w:rPr>
        <w:t>regularly continue to the end of the process.  This process can take longer where there are issues of Institutional abuse or where there are issues like Domestic Abuse or Child Sexual Abuse.</w:t>
      </w:r>
    </w:p>
    <w:p w:rsidR="00753200" w:rsidRDefault="00753200" w:rsidP="00F36032">
      <w:pPr>
        <w:rPr>
          <w:sz w:val="20"/>
          <w:szCs w:val="20"/>
        </w:rPr>
      </w:pPr>
      <w:r>
        <w:rPr>
          <w:sz w:val="20"/>
          <w:szCs w:val="20"/>
        </w:rPr>
        <w:t xml:space="preserve">There is individual counselling available on a continuous basis and client’s involved with </w:t>
      </w:r>
      <w:proofErr w:type="spellStart"/>
      <w:r>
        <w:rPr>
          <w:sz w:val="20"/>
          <w:szCs w:val="20"/>
        </w:rPr>
        <w:t>Tusla</w:t>
      </w:r>
      <w:proofErr w:type="spellEnd"/>
      <w:r>
        <w:rPr>
          <w:sz w:val="20"/>
          <w:szCs w:val="20"/>
        </w:rPr>
        <w:t xml:space="preserve"> around child protection issues may mean the involvement of the social worker in their programme in conjunction with case conferences and case consultations.</w:t>
      </w:r>
    </w:p>
    <w:p w:rsidR="00BC5877" w:rsidRDefault="00BC5877" w:rsidP="00BC5877">
      <w:pPr>
        <w:rPr>
          <w:sz w:val="20"/>
          <w:szCs w:val="20"/>
        </w:rPr>
      </w:pPr>
      <w:r>
        <w:rPr>
          <w:sz w:val="20"/>
          <w:szCs w:val="20"/>
        </w:rPr>
        <w:t>The family member who attends is offered a support group and individual counselling in conjunction with some educational input around the effect of alcohol misuse on children.</w:t>
      </w:r>
    </w:p>
    <w:p w:rsidR="00C43861" w:rsidRPr="006238A8" w:rsidRDefault="00511F05" w:rsidP="00C43861">
      <w:pPr>
        <w:pStyle w:val="Heading1"/>
        <w:rPr>
          <w:color w:val="00B050"/>
          <w:lang w:val="en"/>
        </w:rPr>
      </w:pPr>
      <w:r w:rsidRPr="006238A8">
        <w:rPr>
          <w:color w:val="00B050"/>
          <w:lang w:val="en"/>
        </w:rPr>
        <w:t>Maureen, Family Therapist, Á</w:t>
      </w:r>
      <w:r w:rsidR="00C43861" w:rsidRPr="006238A8">
        <w:rPr>
          <w:color w:val="00B050"/>
          <w:lang w:val="en"/>
        </w:rPr>
        <w:t>it Linn</w:t>
      </w:r>
    </w:p>
    <w:p w:rsidR="00C43861" w:rsidRPr="00C43861" w:rsidRDefault="00C43861" w:rsidP="00C43861">
      <w:pPr>
        <w:rPr>
          <w:lang w:val="en"/>
        </w:rPr>
      </w:pPr>
    </w:p>
    <w:p w:rsidR="00C43861" w:rsidRPr="009343D3" w:rsidRDefault="00C43861" w:rsidP="009343D3">
      <w:pPr>
        <w:tabs>
          <w:tab w:val="left" w:pos="567"/>
        </w:tabs>
        <w:autoSpaceDE w:val="0"/>
        <w:autoSpaceDN w:val="0"/>
        <w:adjustRightInd w:val="0"/>
        <w:spacing w:after="0" w:line="360" w:lineRule="auto"/>
        <w:rPr>
          <w:rFonts w:ascii="Calibri" w:hAnsi="Calibri" w:cs="Calibri"/>
          <w:b/>
          <w:i/>
          <w:sz w:val="22"/>
          <w:szCs w:val="22"/>
          <w:lang w:val="en"/>
        </w:rPr>
      </w:pPr>
      <w:r w:rsidRPr="009343D3">
        <w:rPr>
          <w:rFonts w:ascii="Calibri" w:hAnsi="Calibri" w:cs="Calibri"/>
          <w:b/>
          <w:i/>
          <w:sz w:val="28"/>
          <w:szCs w:val="28"/>
          <w:lang w:val="en"/>
        </w:rPr>
        <w:t>………….</w:t>
      </w:r>
      <w:r w:rsidRPr="009343D3">
        <w:rPr>
          <w:rFonts w:ascii="Calibri" w:hAnsi="Calibri" w:cs="Calibri"/>
          <w:b/>
          <w:i/>
          <w:sz w:val="22"/>
          <w:szCs w:val="22"/>
          <w:lang w:val="en"/>
        </w:rPr>
        <w:t xml:space="preserve"> I have seen firsthand how families are affected by alcohol misuse. I have also seen how, when families come into recovery, healing and transformation can happen. The cycle of addiction can be broken.  It would be my hope that we could expand our service to support and include more family members in our treatment programmes thus enabling a significant higher level of recovery. Healthy families lead to healthy society.</w:t>
      </w:r>
    </w:p>
    <w:p w:rsidR="00BC5877" w:rsidRPr="006238A8" w:rsidRDefault="00BC5877" w:rsidP="00BC5877">
      <w:pPr>
        <w:pStyle w:val="Heading1"/>
        <w:rPr>
          <w:color w:val="00B050"/>
        </w:rPr>
      </w:pPr>
      <w:r w:rsidRPr="006238A8">
        <w:rPr>
          <w:color w:val="00B050"/>
        </w:rPr>
        <w:t>Our Programmes</w:t>
      </w:r>
    </w:p>
    <w:p w:rsidR="00BC5877" w:rsidRDefault="00BC5877" w:rsidP="00BC5877"/>
    <w:p w:rsidR="00BC5877" w:rsidRDefault="00BC5877" w:rsidP="00BC5877">
      <w:pPr>
        <w:rPr>
          <w:sz w:val="20"/>
          <w:szCs w:val="20"/>
        </w:rPr>
      </w:pPr>
      <w:r w:rsidRPr="00BC5877">
        <w:rPr>
          <w:sz w:val="20"/>
          <w:szCs w:val="20"/>
        </w:rPr>
        <w:t xml:space="preserve">The initial education programme </w:t>
      </w:r>
      <w:r>
        <w:rPr>
          <w:sz w:val="20"/>
          <w:szCs w:val="20"/>
        </w:rPr>
        <w:t>is of five weeks duration and includes information about the health and psychological effects of alcohol misuse.</w:t>
      </w:r>
    </w:p>
    <w:p w:rsidR="00511C8F" w:rsidRDefault="00BC5877" w:rsidP="00BC5877">
      <w:pPr>
        <w:rPr>
          <w:sz w:val="20"/>
          <w:szCs w:val="20"/>
        </w:rPr>
      </w:pPr>
      <w:r>
        <w:rPr>
          <w:sz w:val="20"/>
          <w:szCs w:val="20"/>
        </w:rPr>
        <w:t>If the client is abstinent on completion of this programme, they are then offered a relapse prevention programme of c. six week</w:t>
      </w:r>
      <w:r w:rsidR="00243DA6">
        <w:rPr>
          <w:sz w:val="20"/>
          <w:szCs w:val="20"/>
        </w:rPr>
        <w:t>s</w:t>
      </w:r>
      <w:r>
        <w:rPr>
          <w:sz w:val="20"/>
          <w:szCs w:val="20"/>
        </w:rPr>
        <w:t xml:space="preserve"> duration.  This include</w:t>
      </w:r>
      <w:r w:rsidR="00243DA6">
        <w:rPr>
          <w:sz w:val="20"/>
          <w:szCs w:val="20"/>
        </w:rPr>
        <w:t>s</w:t>
      </w:r>
      <w:r>
        <w:rPr>
          <w:sz w:val="20"/>
          <w:szCs w:val="20"/>
        </w:rPr>
        <w:t xml:space="preserve"> information on triggers for relapse, cravings and </w:t>
      </w:r>
      <w:r w:rsidR="00511C8F">
        <w:rPr>
          <w:sz w:val="20"/>
          <w:szCs w:val="20"/>
        </w:rPr>
        <w:t>general health.</w:t>
      </w:r>
    </w:p>
    <w:p w:rsidR="00BC5877" w:rsidRDefault="00511C8F" w:rsidP="00BC5877">
      <w:pPr>
        <w:rPr>
          <w:sz w:val="20"/>
          <w:szCs w:val="20"/>
        </w:rPr>
      </w:pPr>
      <w:r>
        <w:rPr>
          <w:sz w:val="20"/>
          <w:szCs w:val="20"/>
        </w:rPr>
        <w:t>The treatment group commence</w:t>
      </w:r>
      <w:r w:rsidR="00243DA6">
        <w:rPr>
          <w:sz w:val="20"/>
          <w:szCs w:val="20"/>
        </w:rPr>
        <w:t>s</w:t>
      </w:r>
      <w:r>
        <w:rPr>
          <w:sz w:val="20"/>
          <w:szCs w:val="20"/>
        </w:rPr>
        <w:t xml:space="preserve"> when the client has begun to adjust to the absence of </w:t>
      </w:r>
      <w:proofErr w:type="gramStart"/>
      <w:r>
        <w:rPr>
          <w:sz w:val="20"/>
          <w:szCs w:val="20"/>
        </w:rPr>
        <w:t xml:space="preserve">alcohol </w:t>
      </w:r>
      <w:r w:rsidR="00BC5877">
        <w:rPr>
          <w:sz w:val="20"/>
          <w:szCs w:val="20"/>
        </w:rPr>
        <w:t xml:space="preserve"> </w:t>
      </w:r>
      <w:r>
        <w:rPr>
          <w:sz w:val="20"/>
          <w:szCs w:val="20"/>
        </w:rPr>
        <w:t>in</w:t>
      </w:r>
      <w:proofErr w:type="gramEnd"/>
      <w:r>
        <w:rPr>
          <w:sz w:val="20"/>
          <w:szCs w:val="20"/>
        </w:rPr>
        <w:t xml:space="preserve"> their life and deals with coping with the pressures of an abstinen</w:t>
      </w:r>
      <w:r w:rsidR="00243DA6">
        <w:rPr>
          <w:sz w:val="20"/>
          <w:szCs w:val="20"/>
        </w:rPr>
        <w:t>t</w:t>
      </w:r>
      <w:r>
        <w:rPr>
          <w:sz w:val="20"/>
          <w:szCs w:val="20"/>
        </w:rPr>
        <w:t xml:space="preserve"> life and resolving problems that have arisen due to problem drinking.  In this period </w:t>
      </w:r>
      <w:r w:rsidR="00E50074">
        <w:rPr>
          <w:sz w:val="20"/>
          <w:szCs w:val="20"/>
        </w:rPr>
        <w:t xml:space="preserve">which runs for c. twenty six weeks, </w:t>
      </w:r>
      <w:r>
        <w:rPr>
          <w:sz w:val="20"/>
          <w:szCs w:val="20"/>
        </w:rPr>
        <w:t>there may be a need for either a couple’s therapy session or a family therapy session.  As two of the therapist</w:t>
      </w:r>
      <w:r w:rsidR="00243DA6">
        <w:rPr>
          <w:sz w:val="20"/>
          <w:szCs w:val="20"/>
        </w:rPr>
        <w:t>s</w:t>
      </w:r>
      <w:r>
        <w:rPr>
          <w:sz w:val="20"/>
          <w:szCs w:val="20"/>
        </w:rPr>
        <w:t xml:space="preserve"> working in the project are registered family therapist</w:t>
      </w:r>
      <w:r w:rsidR="0044583D">
        <w:rPr>
          <w:sz w:val="20"/>
          <w:szCs w:val="20"/>
        </w:rPr>
        <w:t>s</w:t>
      </w:r>
      <w:r>
        <w:rPr>
          <w:sz w:val="20"/>
          <w:szCs w:val="20"/>
        </w:rPr>
        <w:t>, this is easily facilitated.</w:t>
      </w:r>
      <w:r w:rsidR="00E50074">
        <w:rPr>
          <w:sz w:val="20"/>
          <w:szCs w:val="20"/>
        </w:rPr>
        <w:t xml:space="preserve">  Other issues are normally resolved during this period, and clients may need additional support to report abuse or to attend social workers or services for abuse.</w:t>
      </w:r>
    </w:p>
    <w:p w:rsidR="00901942" w:rsidRDefault="00511F05" w:rsidP="00901942">
      <w:pPr>
        <w:pStyle w:val="Heading1"/>
        <w:rPr>
          <w:color w:val="00B050"/>
          <w:lang w:val="en"/>
        </w:rPr>
      </w:pPr>
      <w:r w:rsidRPr="006238A8">
        <w:rPr>
          <w:color w:val="00B050"/>
          <w:lang w:val="en"/>
        </w:rPr>
        <w:t>Client - Á</w:t>
      </w:r>
      <w:r w:rsidR="00901942" w:rsidRPr="006238A8">
        <w:rPr>
          <w:color w:val="00B050"/>
          <w:lang w:val="en"/>
        </w:rPr>
        <w:t>it Linn:</w:t>
      </w:r>
    </w:p>
    <w:p w:rsidR="00A51D87" w:rsidRPr="00A51D87" w:rsidRDefault="00A51D87" w:rsidP="00A51D87">
      <w:pPr>
        <w:rPr>
          <w:lang w:val="en"/>
        </w:rPr>
      </w:pPr>
    </w:p>
    <w:p w:rsidR="00901942" w:rsidRPr="009343D3" w:rsidRDefault="00901942" w:rsidP="00A44242">
      <w:pPr>
        <w:pStyle w:val="NoSpacing"/>
        <w:spacing w:line="360" w:lineRule="auto"/>
        <w:rPr>
          <w:rFonts w:ascii="Calibri" w:hAnsi="Calibri" w:cs="Calibri"/>
          <w:b/>
          <w:bCs/>
          <w:i/>
          <w:sz w:val="20"/>
          <w:szCs w:val="20"/>
          <w:u w:val="single"/>
          <w:lang w:val="en"/>
        </w:rPr>
      </w:pPr>
      <w:r w:rsidRPr="009343D3">
        <w:rPr>
          <w:rFonts w:ascii="Calibri" w:hAnsi="Calibri"/>
          <w:b/>
        </w:rPr>
        <w:t xml:space="preserve">……….. </w:t>
      </w:r>
      <w:r w:rsidRPr="009343D3">
        <w:rPr>
          <w:rFonts w:ascii="Calibri" w:hAnsi="Calibri"/>
          <w:b/>
          <w:i/>
          <w:sz w:val="20"/>
          <w:szCs w:val="20"/>
        </w:rPr>
        <w:t>I had an alcohol induced fall at home and as a result I was admitted to Beaumont Hospital where I spent a night in A and E with extensive bruising to my face and the left side of my body. It was shortly after I was int</w:t>
      </w:r>
      <w:r w:rsidR="00511F05">
        <w:rPr>
          <w:rFonts w:ascii="Calibri" w:hAnsi="Calibri"/>
          <w:b/>
          <w:i/>
          <w:sz w:val="20"/>
          <w:szCs w:val="20"/>
        </w:rPr>
        <w:t>roduced to the Counsellor from Á</w:t>
      </w:r>
      <w:r w:rsidRPr="009343D3">
        <w:rPr>
          <w:rFonts w:ascii="Calibri" w:hAnsi="Calibri"/>
          <w:b/>
          <w:i/>
          <w:sz w:val="20"/>
          <w:szCs w:val="20"/>
        </w:rPr>
        <w:t xml:space="preserve">it Linn. I was told about the services provided at the Centre and entered into the programme shortly before Christmas. </w:t>
      </w:r>
    </w:p>
    <w:p w:rsidR="00901942" w:rsidRPr="009343D3" w:rsidRDefault="00901942" w:rsidP="00A44242">
      <w:pPr>
        <w:pStyle w:val="NoSpacing"/>
        <w:spacing w:line="360" w:lineRule="auto"/>
        <w:rPr>
          <w:rFonts w:ascii="Calibri" w:hAnsi="Calibri"/>
          <w:b/>
          <w:i/>
          <w:sz w:val="20"/>
          <w:szCs w:val="20"/>
        </w:rPr>
      </w:pPr>
      <w:r w:rsidRPr="009343D3">
        <w:rPr>
          <w:rFonts w:ascii="Calibri" w:hAnsi="Calibri"/>
          <w:b/>
          <w:i/>
          <w:sz w:val="20"/>
          <w:szCs w:val="20"/>
        </w:rPr>
        <w:t xml:space="preserve">The sessions are friendly and non-judgmental in an atmosphere of mutual respect and have become the highlight of my week. My time with this group is coming to an end and I am about to enter After-Care. This further step in my recovery has given me the opportunity to think back over the last year and the progress I have made. I have now returned to full time education. </w:t>
      </w:r>
    </w:p>
    <w:p w:rsidR="00A51D87" w:rsidRDefault="00A51D87" w:rsidP="00BC5877">
      <w:pPr>
        <w:rPr>
          <w:rFonts w:ascii="Calibri" w:hAnsi="Calibri"/>
          <w:b/>
          <w:sz w:val="20"/>
          <w:szCs w:val="20"/>
        </w:rPr>
      </w:pPr>
    </w:p>
    <w:p w:rsidR="00511C8F" w:rsidRDefault="00E50074" w:rsidP="00BC5877">
      <w:pPr>
        <w:rPr>
          <w:sz w:val="20"/>
          <w:szCs w:val="20"/>
        </w:rPr>
      </w:pPr>
      <w:r>
        <w:rPr>
          <w:sz w:val="20"/>
          <w:szCs w:val="20"/>
        </w:rPr>
        <w:t>The a</w:t>
      </w:r>
      <w:r w:rsidR="0044583D">
        <w:rPr>
          <w:sz w:val="20"/>
          <w:szCs w:val="20"/>
        </w:rPr>
        <w:t>ftercare group follows on fro</w:t>
      </w:r>
      <w:r>
        <w:rPr>
          <w:sz w:val="20"/>
          <w:szCs w:val="20"/>
        </w:rPr>
        <w:t>m this and this is usually a process of re-establishment of the client within their family and a period of positive re-integration into employment</w:t>
      </w:r>
      <w:r w:rsidR="00901942">
        <w:rPr>
          <w:sz w:val="20"/>
          <w:szCs w:val="20"/>
        </w:rPr>
        <w:t xml:space="preserve"> or education</w:t>
      </w:r>
      <w:r>
        <w:rPr>
          <w:sz w:val="20"/>
          <w:szCs w:val="20"/>
        </w:rPr>
        <w:t xml:space="preserve">. Life is now getting easier and mostly </w:t>
      </w:r>
      <w:r w:rsidR="00B72CA7">
        <w:rPr>
          <w:sz w:val="20"/>
          <w:szCs w:val="20"/>
        </w:rPr>
        <w:t>clients</w:t>
      </w:r>
      <w:r>
        <w:rPr>
          <w:sz w:val="20"/>
          <w:szCs w:val="20"/>
        </w:rPr>
        <w:t xml:space="preserve"> are</w:t>
      </w:r>
      <w:r w:rsidR="00B72CA7">
        <w:rPr>
          <w:sz w:val="20"/>
          <w:szCs w:val="20"/>
        </w:rPr>
        <w:t xml:space="preserve"> now fully stable but still face the challenges of adapting their behaviours.</w:t>
      </w:r>
    </w:p>
    <w:p w:rsidR="00CB53FC" w:rsidRDefault="00CB53FC" w:rsidP="00BC5877">
      <w:pPr>
        <w:rPr>
          <w:sz w:val="20"/>
          <w:szCs w:val="20"/>
        </w:rPr>
      </w:pPr>
      <w:r>
        <w:rPr>
          <w:sz w:val="20"/>
          <w:szCs w:val="20"/>
        </w:rPr>
        <w:t xml:space="preserve">Additionally, there have been both Men and Women’s Programmes offered in the Centre, these have proved useful when people are finding it difficult to engage with the idea of problem drinking and are ambivalent about attending the project.  This has been mostly in the initial stages for the women while for the men, the group has proved useful in helping establish relationships in a different milieu to the “pub”. </w:t>
      </w:r>
    </w:p>
    <w:p w:rsidR="00901942" w:rsidRDefault="006238A8" w:rsidP="00BC5877">
      <w:pPr>
        <w:rPr>
          <w:b/>
          <w:color w:val="00B050"/>
          <w:sz w:val="20"/>
          <w:szCs w:val="20"/>
          <w:u w:val="thick"/>
        </w:rPr>
      </w:pPr>
      <w:r>
        <w:rPr>
          <w:b/>
          <w:color w:val="00B050"/>
          <w:sz w:val="20"/>
          <w:szCs w:val="20"/>
          <w:u w:val="thick"/>
        </w:rPr>
        <w:t>Graph of ratio of me</w:t>
      </w:r>
      <w:r w:rsidR="00901942" w:rsidRPr="006238A8">
        <w:rPr>
          <w:b/>
          <w:color w:val="00B050"/>
          <w:sz w:val="20"/>
          <w:szCs w:val="20"/>
          <w:u w:val="thick"/>
        </w:rPr>
        <w:t>n to women</w:t>
      </w:r>
    </w:p>
    <w:p w:rsidR="006238A8" w:rsidRPr="006238A8" w:rsidRDefault="0037363A" w:rsidP="00BC5877">
      <w:pPr>
        <w:rPr>
          <w:b/>
          <w:color w:val="00B050"/>
          <w:sz w:val="20"/>
          <w:szCs w:val="20"/>
          <w:u w:val="thick"/>
        </w:rPr>
      </w:pPr>
      <w:r>
        <w:rPr>
          <w:noProof/>
          <w:lang w:val="en-IE" w:eastAsia="en-IE"/>
        </w:rPr>
        <w:drawing>
          <wp:inline distT="0" distB="0" distL="0" distR="0" wp14:anchorId="71350869" wp14:editId="36D3208D">
            <wp:extent cx="6018663" cy="2790967"/>
            <wp:effectExtent l="0" t="0" r="2032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72CA7" w:rsidRPr="006238A8" w:rsidRDefault="00B72CA7" w:rsidP="00B72CA7">
      <w:pPr>
        <w:pStyle w:val="Heading1"/>
        <w:rPr>
          <w:color w:val="00B050"/>
        </w:rPr>
      </w:pPr>
      <w:r w:rsidRPr="006238A8">
        <w:rPr>
          <w:color w:val="00B050"/>
        </w:rPr>
        <w:t>The staff team:</w:t>
      </w:r>
    </w:p>
    <w:p w:rsidR="002A7741" w:rsidRDefault="002A7741" w:rsidP="008B32F3"/>
    <w:p w:rsidR="007733F7" w:rsidRDefault="007733F7" w:rsidP="008B32F3">
      <w:pPr>
        <w:rPr>
          <w:sz w:val="20"/>
          <w:szCs w:val="20"/>
        </w:rPr>
      </w:pPr>
      <w:r w:rsidRPr="007733F7">
        <w:rPr>
          <w:sz w:val="20"/>
          <w:szCs w:val="20"/>
        </w:rPr>
        <w:t>There</w:t>
      </w:r>
      <w:r>
        <w:rPr>
          <w:sz w:val="20"/>
          <w:szCs w:val="20"/>
        </w:rPr>
        <w:t xml:space="preserve"> are a small staff of three sessional psychotherapists and a project worker/trainee psychotherapist working in the project and the project manager/clinical supervisor.  One of the therapists is accredited with The Family Therapy Association of Ireland (as is the project manager), another is accredited with Psychological Society of Ireland and two are accredited with Addiction Counsellors of Ireland. </w:t>
      </w:r>
    </w:p>
    <w:p w:rsidR="002022C7" w:rsidRDefault="007733F7" w:rsidP="008B32F3">
      <w:pPr>
        <w:rPr>
          <w:sz w:val="20"/>
          <w:szCs w:val="20"/>
        </w:rPr>
      </w:pPr>
      <w:r>
        <w:rPr>
          <w:sz w:val="20"/>
          <w:szCs w:val="20"/>
        </w:rPr>
        <w:t>All of the therapist</w:t>
      </w:r>
      <w:r w:rsidR="0044583D">
        <w:rPr>
          <w:sz w:val="20"/>
          <w:szCs w:val="20"/>
        </w:rPr>
        <w:t>s</w:t>
      </w:r>
      <w:r>
        <w:rPr>
          <w:sz w:val="20"/>
          <w:szCs w:val="20"/>
        </w:rPr>
        <w:t xml:space="preserve"> are fully trained in work</w:t>
      </w:r>
      <w:r w:rsidR="00C777BE">
        <w:rPr>
          <w:sz w:val="20"/>
          <w:szCs w:val="20"/>
        </w:rPr>
        <w:t>ing with alcohol misuse and</w:t>
      </w:r>
      <w:r>
        <w:rPr>
          <w:sz w:val="20"/>
          <w:szCs w:val="20"/>
        </w:rPr>
        <w:t xml:space="preserve"> have extensive experience in either the public or private sector.</w:t>
      </w:r>
      <w:r w:rsidR="00176EB7">
        <w:rPr>
          <w:sz w:val="20"/>
          <w:szCs w:val="20"/>
        </w:rPr>
        <w:t xml:space="preserve">  Their training and experience ensure that they have supportive therapeutic relationships while maintaining good boundaries thereby mirroring positive relationships for the clients.</w:t>
      </w:r>
    </w:p>
    <w:p w:rsidR="006A73BD" w:rsidRPr="006238A8" w:rsidRDefault="006A73BD" w:rsidP="006A73BD">
      <w:pPr>
        <w:pStyle w:val="Heading1"/>
        <w:rPr>
          <w:color w:val="00B050"/>
        </w:rPr>
      </w:pPr>
      <w:r w:rsidRPr="006238A8">
        <w:rPr>
          <w:color w:val="00B050"/>
        </w:rPr>
        <w:t>A graphic representation of clients’ progress in the project</w:t>
      </w:r>
    </w:p>
    <w:p w:rsidR="006A73BD" w:rsidRDefault="006A73BD" w:rsidP="008B32F3">
      <w:pPr>
        <w:rPr>
          <w:sz w:val="20"/>
          <w:szCs w:val="20"/>
        </w:rPr>
      </w:pPr>
    </w:p>
    <w:p w:rsidR="006A73BD" w:rsidRDefault="006A73BD" w:rsidP="00603A3B">
      <w:pPr>
        <w:rPr>
          <w:sz w:val="20"/>
          <w:szCs w:val="20"/>
        </w:rPr>
      </w:pPr>
      <w:r>
        <w:rPr>
          <w:sz w:val="20"/>
          <w:szCs w:val="20"/>
        </w:rPr>
        <w:t>The following chart gives an overview of progress through the center for clients, whether they are abstinent or not.   Hospitals make significant referrals to the project and also social workers, G.P.s, community psychiatric nurses and other organizations concerned with supporting tenancies and helping individuals in recovery.</w:t>
      </w:r>
    </w:p>
    <w:p w:rsidR="00CC3166" w:rsidRDefault="00CC3166" w:rsidP="00603A3B">
      <w:pPr>
        <w:rPr>
          <w:sz w:val="20"/>
          <w:szCs w:val="20"/>
        </w:rPr>
      </w:pPr>
    </w:p>
    <w:p w:rsidR="00CC3166" w:rsidRDefault="00CC3166" w:rsidP="00CC3166">
      <w:pPr>
        <w:pStyle w:val="Heading1"/>
        <w:rPr>
          <w:color w:val="00B050"/>
        </w:rPr>
      </w:pPr>
      <w:r w:rsidRPr="00CC3166">
        <w:rPr>
          <w:color w:val="00B050"/>
        </w:rPr>
        <w:t xml:space="preserve">Treatment </w:t>
      </w:r>
      <w:proofErr w:type="spellStart"/>
      <w:r w:rsidRPr="00CC3166">
        <w:rPr>
          <w:color w:val="00B050"/>
        </w:rPr>
        <w:t>Programme</w:t>
      </w:r>
      <w:proofErr w:type="spellEnd"/>
    </w:p>
    <w:p w:rsidR="00CC3166" w:rsidRPr="00CC3166" w:rsidRDefault="00CC3166" w:rsidP="00CC3166"/>
    <w:p w:rsidR="00603A3B" w:rsidRPr="00A75220" w:rsidRDefault="00603A3B" w:rsidP="00603A3B">
      <w:pPr>
        <w:rPr>
          <w:rFonts w:ascii="Arial" w:hAnsi="Arial" w:cs="Arial"/>
          <w:b/>
          <w:sz w:val="24"/>
          <w:szCs w:val="24"/>
        </w:rPr>
      </w:pPr>
      <w:r w:rsidRPr="00A75220">
        <w:rPr>
          <w:rFonts w:ascii="Arial" w:hAnsi="Arial" w:cs="Arial"/>
          <w:b/>
          <w:noProof/>
          <w:sz w:val="24"/>
          <w:szCs w:val="24"/>
          <w:lang w:val="en-IE" w:eastAsia="en-IE"/>
        </w:rPr>
        <mc:AlternateContent>
          <mc:Choice Requires="wps">
            <w:drawing>
              <wp:anchor distT="0" distB="0" distL="114300" distR="114300" simplePos="0" relativeHeight="251659264" behindDoc="0" locked="0" layoutInCell="1" allowOverlap="1" wp14:anchorId="0D341EE9" wp14:editId="239283AD">
                <wp:simplePos x="0" y="0"/>
                <wp:positionH relativeFrom="column">
                  <wp:posOffset>-221615</wp:posOffset>
                </wp:positionH>
                <wp:positionV relativeFrom="paragraph">
                  <wp:posOffset>226695</wp:posOffset>
                </wp:positionV>
                <wp:extent cx="945515" cy="556260"/>
                <wp:effectExtent l="19050" t="19050" r="45085" b="34290"/>
                <wp:wrapNone/>
                <wp:docPr id="4" name="Notched Right Arrow 4"/>
                <wp:cNvGraphicFramePr/>
                <a:graphic xmlns:a="http://schemas.openxmlformats.org/drawingml/2006/main">
                  <a:graphicData uri="http://schemas.microsoft.com/office/word/2010/wordprocessingShape">
                    <wps:wsp>
                      <wps:cNvSpPr/>
                      <wps:spPr>
                        <a:xfrm>
                          <a:off x="0" y="0"/>
                          <a:ext cx="945515" cy="556260"/>
                        </a:xfrm>
                        <a:prstGeom prst="notchedRightArrow">
                          <a:avLst/>
                        </a:prstGeom>
                        <a:solidFill>
                          <a:srgbClr val="00B050"/>
                        </a:solidFill>
                        <a:ln w="12700" cap="flat" cmpd="sng" algn="ctr">
                          <a:solidFill>
                            <a:srgbClr val="5B9BD5">
                              <a:shade val="50000"/>
                            </a:srgbClr>
                          </a:solidFill>
                          <a:prstDash val="solid"/>
                          <a:miter lim="800000"/>
                        </a:ln>
                        <a:effectLst/>
                      </wps:spPr>
                      <wps:txbx>
                        <w:txbxContent>
                          <w:p w:rsidR="00603A3B" w:rsidRPr="000B3889" w:rsidRDefault="00603A3B" w:rsidP="00603A3B">
                            <w:pPr>
                              <w:jc w:val="center"/>
                              <w:rPr>
                                <w:sz w:val="16"/>
                                <w:szCs w:val="16"/>
                              </w:rPr>
                            </w:pPr>
                            <w:r w:rsidRPr="000B3889">
                              <w:t xml:space="preserve">Self </w:t>
                            </w:r>
                            <w:proofErr w:type="spellStart"/>
                            <w:r w:rsidRPr="000B3889">
                              <w:rPr>
                                <w:sz w:val="16"/>
                                <w:szCs w:val="16"/>
                              </w:rPr>
                              <w:t>Referrla</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Notched Right Arrow 4" o:spid="_x0000_s1026" type="#_x0000_t94" style="position:absolute;margin-left:-17.45pt;margin-top:17.85pt;width:74.45pt;height:4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" adj="15246" fillcolor="#00b050" strokecolor="#41719c" strokeweight="1pt">
                <v:textbox>
                  <w:txbxContent>
                    <w:p w:rsidR="00603A3B" w:rsidRPr="000B3889" w:rsidRDefault="00603A3B" w:rsidP="00603A3B">
                      <w:pPr>
                        <w:jc w:val="center"/>
                        <w:rPr>
                          <w:sz w:val="16"/>
                          <w:szCs w:val="16"/>
                        </w:rPr>
                      </w:pPr>
                      <w:r w:rsidRPr="000B3889">
                        <w:t xml:space="preserve">Self </w:t>
                      </w:r>
                      <w:proofErr w:type="spellStart"/>
                      <w:r w:rsidRPr="000B3889">
                        <w:rPr>
                          <w:sz w:val="16"/>
                          <w:szCs w:val="16"/>
                        </w:rPr>
                        <w:t>Referrla</w:t>
                      </w:r>
                      <w:proofErr w:type="spellEnd"/>
                    </w:p>
                  </w:txbxContent>
                </v:textbox>
              </v:shape>
            </w:pict>
          </mc:Fallback>
        </mc:AlternateContent>
      </w:r>
      <w:r>
        <w:rPr>
          <w:rFonts w:ascii="Arial" w:hAnsi="Arial" w:cs="Arial"/>
          <w:b/>
          <w:sz w:val="24"/>
          <w:szCs w:val="24"/>
        </w:rPr>
        <w:t>NOT</w:t>
      </w:r>
      <w:r>
        <w:rPr>
          <w:rFonts w:ascii="Arial" w:hAnsi="Arial" w:cs="Arial"/>
          <w:b/>
          <w:sz w:val="24"/>
          <w:szCs w:val="24"/>
        </w:rPr>
        <w:tab/>
      </w:r>
      <w:r w:rsidRPr="00A75220">
        <w:rPr>
          <w:rFonts w:ascii="Arial" w:hAnsi="Arial" w:cs="Arial"/>
          <w:b/>
          <w:sz w:val="24"/>
          <w:szCs w:val="24"/>
        </w:rPr>
        <w:t>ABSTINENT</w:t>
      </w:r>
      <w:r w:rsidRPr="004D26B9">
        <w:rPr>
          <w:rFonts w:ascii="Arial" w:hAnsi="Arial" w:cs="Arial"/>
          <w:b/>
          <w:sz w:val="24"/>
          <w:szCs w:val="24"/>
        </w:rPr>
        <w:t xml:space="preserve"> </w:t>
      </w:r>
      <w:r>
        <w:rPr>
          <w:rFonts w:ascii="Arial" w:hAnsi="Arial" w:cs="Arial"/>
          <w:b/>
          <w:sz w:val="24"/>
          <w:szCs w:val="24"/>
        </w:rPr>
        <w:tab/>
      </w:r>
      <w:r>
        <w:rPr>
          <w:rFonts w:ascii="Arial" w:hAnsi="Arial" w:cs="Arial"/>
          <w:b/>
          <w:sz w:val="24"/>
          <w:szCs w:val="24"/>
        </w:rPr>
        <w:tab/>
      </w:r>
      <w:r w:rsidRPr="00A75220">
        <w:rPr>
          <w:rFonts w:ascii="Arial" w:hAnsi="Arial" w:cs="Arial"/>
          <w:b/>
          <w:sz w:val="24"/>
          <w:szCs w:val="24"/>
        </w:rPr>
        <w:t>ABSTINENT</w:t>
      </w:r>
      <w:r w:rsidR="006A73BD">
        <w:rPr>
          <w:rFonts w:ascii="Arial" w:hAnsi="Arial" w:cs="Arial"/>
          <w:b/>
          <w:sz w:val="24"/>
          <w:szCs w:val="24"/>
        </w:rPr>
        <w:t>/SOBER</w:t>
      </w:r>
    </w:p>
    <w:p w:rsidR="00603A3B" w:rsidRPr="00A75220" w:rsidRDefault="00603A3B" w:rsidP="00603A3B">
      <w:pPr>
        <w:rPr>
          <w:rFonts w:ascii="Arial" w:hAnsi="Arial" w:cs="Arial"/>
          <w:b/>
          <w:sz w:val="24"/>
          <w:szCs w:val="24"/>
        </w:rPr>
      </w:pPr>
      <w:r w:rsidRPr="00A75220">
        <w:rPr>
          <w:rFonts w:ascii="Arial" w:hAnsi="Arial" w:cs="Arial"/>
          <w:b/>
          <w:sz w:val="24"/>
          <w:szCs w:val="24"/>
        </w:rPr>
        <w:tab/>
      </w:r>
      <w:r w:rsidRPr="00A75220">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p>
    <w:p w:rsidR="00603A3B" w:rsidRPr="00A75220" w:rsidRDefault="002022C7" w:rsidP="00603A3B">
      <w:pPr>
        <w:rPr>
          <w:rFonts w:ascii="Arial" w:hAnsi="Arial" w:cs="Arial"/>
          <w:b/>
          <w:sz w:val="24"/>
          <w:szCs w:val="24"/>
        </w:rPr>
      </w:pPr>
      <w:r w:rsidRPr="00A75220">
        <w:rPr>
          <w:rFonts w:ascii="Arial" w:hAnsi="Arial" w:cs="Arial"/>
          <w:b/>
          <w:noProof/>
          <w:sz w:val="24"/>
          <w:szCs w:val="24"/>
          <w:lang w:val="en-IE" w:eastAsia="en-IE"/>
        </w:rPr>
        <mc:AlternateContent>
          <mc:Choice Requires="wps">
            <w:drawing>
              <wp:anchor distT="0" distB="0" distL="114300" distR="114300" simplePos="0" relativeHeight="251663360" behindDoc="0" locked="0" layoutInCell="1" allowOverlap="1" wp14:anchorId="46D242B4" wp14:editId="0B55CD32">
                <wp:simplePos x="0" y="0"/>
                <wp:positionH relativeFrom="column">
                  <wp:posOffset>781685</wp:posOffset>
                </wp:positionH>
                <wp:positionV relativeFrom="paragraph">
                  <wp:posOffset>71755</wp:posOffset>
                </wp:positionV>
                <wp:extent cx="1319530" cy="1033145"/>
                <wp:effectExtent l="0" t="0" r="33020" b="14605"/>
                <wp:wrapNone/>
                <wp:docPr id="8" name="Right Arrow Callout 8"/>
                <wp:cNvGraphicFramePr/>
                <a:graphic xmlns:a="http://schemas.openxmlformats.org/drawingml/2006/main">
                  <a:graphicData uri="http://schemas.microsoft.com/office/word/2010/wordprocessingShape">
                    <wps:wsp>
                      <wps:cNvSpPr/>
                      <wps:spPr>
                        <a:xfrm>
                          <a:off x="0" y="0"/>
                          <a:ext cx="1319530" cy="1033145"/>
                        </a:xfrm>
                        <a:prstGeom prst="rightArrowCallout">
                          <a:avLst/>
                        </a:prstGeom>
                        <a:solidFill>
                          <a:srgbClr val="00B050"/>
                        </a:solidFill>
                        <a:ln w="12700" cap="flat" cmpd="sng" algn="ctr">
                          <a:solidFill>
                            <a:srgbClr val="5B9BD5">
                              <a:shade val="50000"/>
                            </a:srgbClr>
                          </a:solidFill>
                          <a:prstDash val="solid"/>
                          <a:miter lim="800000"/>
                        </a:ln>
                        <a:effectLst/>
                      </wps:spPr>
                      <wps:txbx>
                        <w:txbxContent>
                          <w:p w:rsidR="00603A3B" w:rsidRPr="006238A8" w:rsidRDefault="00603A3B" w:rsidP="00603A3B">
                            <w:pPr>
                              <w:jc w:val="center"/>
                            </w:pPr>
                            <w:r w:rsidRPr="006238A8">
                              <w:t>Information</w:t>
                            </w:r>
                          </w:p>
                          <w:p w:rsidR="00603A3B" w:rsidRPr="006238A8" w:rsidRDefault="00603A3B" w:rsidP="00603A3B">
                            <w:pPr>
                              <w:jc w:val="center"/>
                            </w:pPr>
                            <w:r w:rsidRPr="006238A8">
                              <w:t>5 weeks</w:t>
                            </w:r>
                          </w:p>
                          <w:p w:rsidR="00603A3B" w:rsidRPr="006238A8" w:rsidRDefault="00603A3B" w:rsidP="00603A3B">
                            <w:pPr>
                              <w:jc w:val="center"/>
                            </w:pPr>
                            <w:r w:rsidRPr="006238A8">
                              <w:t>1:1 support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Right Arrow Callout 8" o:spid="_x0000_s1027" type="#_x0000_t78" style="position:absolute;margin-left:61.55pt;margin-top:5.65pt;width:103.9pt;height:81.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" adj="14035,,17372" fillcolor="#00b050" strokecolor="#41719c" strokeweight="1pt">
                <v:textbox>
                  <w:txbxContent>
                    <w:p w:rsidR="00603A3B" w:rsidRPr="006238A8" w:rsidRDefault="00603A3B" w:rsidP="00603A3B">
                      <w:pPr>
                        <w:jc w:val="center"/>
                      </w:pPr>
                      <w:r w:rsidRPr="006238A8">
                        <w:t>Information</w:t>
                      </w:r>
                    </w:p>
                    <w:p w:rsidR="00603A3B" w:rsidRPr="006238A8" w:rsidRDefault="00603A3B" w:rsidP="00603A3B">
                      <w:pPr>
                        <w:jc w:val="center"/>
                      </w:pPr>
                      <w:r w:rsidRPr="006238A8">
                        <w:t>5 weeks</w:t>
                      </w:r>
                    </w:p>
                    <w:p w:rsidR="00603A3B" w:rsidRPr="006238A8" w:rsidRDefault="00603A3B" w:rsidP="00603A3B">
                      <w:pPr>
                        <w:jc w:val="center"/>
                      </w:pPr>
                      <w:r w:rsidRPr="006238A8">
                        <w:t>1:1 support</w:t>
                      </w:r>
                    </w:p>
                  </w:txbxContent>
                </v:textbox>
              </v:shape>
            </w:pict>
          </mc:Fallback>
        </mc:AlternateContent>
      </w:r>
      <w:r w:rsidRPr="00A75220">
        <w:rPr>
          <w:rFonts w:ascii="Arial" w:hAnsi="Arial" w:cs="Arial"/>
          <w:b/>
          <w:noProof/>
          <w:sz w:val="24"/>
          <w:szCs w:val="24"/>
          <w:lang w:val="en-IE" w:eastAsia="en-IE"/>
        </w:rPr>
        <mc:AlternateContent>
          <mc:Choice Requires="wps">
            <w:drawing>
              <wp:anchor distT="0" distB="0" distL="114300" distR="114300" simplePos="0" relativeHeight="251664384" behindDoc="0" locked="0" layoutInCell="1" allowOverlap="1" wp14:anchorId="75ADB234" wp14:editId="239A7A31">
                <wp:simplePos x="0" y="0"/>
                <wp:positionH relativeFrom="column">
                  <wp:posOffset>2105025</wp:posOffset>
                </wp:positionH>
                <wp:positionV relativeFrom="paragraph">
                  <wp:posOffset>74930</wp:posOffset>
                </wp:positionV>
                <wp:extent cx="1391285" cy="1033145"/>
                <wp:effectExtent l="0" t="0" r="37465" b="14605"/>
                <wp:wrapNone/>
                <wp:docPr id="10" name="Right Arrow Callout 10"/>
                <wp:cNvGraphicFramePr/>
                <a:graphic xmlns:a="http://schemas.openxmlformats.org/drawingml/2006/main">
                  <a:graphicData uri="http://schemas.microsoft.com/office/word/2010/wordprocessingShape">
                    <wps:wsp>
                      <wps:cNvSpPr/>
                      <wps:spPr>
                        <a:xfrm>
                          <a:off x="0" y="0"/>
                          <a:ext cx="1391285" cy="1033145"/>
                        </a:xfrm>
                        <a:prstGeom prst="rightArrowCallout">
                          <a:avLst/>
                        </a:prstGeom>
                        <a:solidFill>
                          <a:srgbClr val="00B050"/>
                        </a:solidFill>
                        <a:ln w="12700" cap="flat" cmpd="sng" algn="ctr">
                          <a:solidFill>
                            <a:srgbClr val="5B9BD5">
                              <a:shade val="50000"/>
                            </a:srgbClr>
                          </a:solidFill>
                          <a:prstDash val="solid"/>
                          <a:miter lim="800000"/>
                        </a:ln>
                        <a:effectLst/>
                      </wps:spPr>
                      <wps:txbx>
                        <w:txbxContent>
                          <w:p w:rsidR="00603A3B" w:rsidRDefault="00603A3B" w:rsidP="00603A3B">
                            <w:pPr>
                              <w:jc w:val="center"/>
                            </w:pPr>
                            <w:r>
                              <w:t>Relapse</w:t>
                            </w:r>
                          </w:p>
                          <w:p w:rsidR="00603A3B" w:rsidRDefault="00603A3B" w:rsidP="00603A3B">
                            <w:pPr>
                              <w:jc w:val="center"/>
                            </w:pPr>
                            <w:r>
                              <w:t>Prevention</w:t>
                            </w:r>
                          </w:p>
                          <w:p w:rsidR="00603A3B" w:rsidRDefault="00603A3B" w:rsidP="00603A3B">
                            <w:pPr>
                              <w:jc w:val="center"/>
                            </w:pPr>
                            <w:r>
                              <w:t>6 weeks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Callout 10" o:spid="_x0000_s1028" type="#_x0000_t78" style="position:absolute;margin-left:165.75pt;margin-top:5.9pt;width:109.55pt;height:81.3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" adj="14035,,17590" fillcolor="#00b050" strokecolor="#41719c" strokeweight="1pt">
                <v:textbox>
                  <w:txbxContent>
                    <w:p w:rsidR="00603A3B" w:rsidRDefault="00603A3B" w:rsidP="00603A3B">
                      <w:pPr>
                        <w:jc w:val="center"/>
                      </w:pPr>
                      <w:r>
                        <w:t>Relapse</w:t>
                      </w:r>
                    </w:p>
                    <w:p w:rsidR="00603A3B" w:rsidRDefault="00603A3B" w:rsidP="00603A3B">
                      <w:pPr>
                        <w:jc w:val="center"/>
                      </w:pPr>
                      <w:r>
                        <w:t>Prevention</w:t>
                      </w:r>
                    </w:p>
                    <w:p w:rsidR="00603A3B" w:rsidRDefault="00603A3B" w:rsidP="00603A3B">
                      <w:pPr>
                        <w:jc w:val="center"/>
                      </w:pPr>
                      <w:r>
                        <w:t>6 weeks</w:t>
                      </w:r>
                    </w:p>
                  </w:txbxContent>
                </v:textbox>
              </v:shape>
            </w:pict>
          </mc:Fallback>
        </mc:AlternateContent>
      </w:r>
      <w:r w:rsidRPr="00A75220">
        <w:rPr>
          <w:rFonts w:ascii="Arial" w:hAnsi="Arial" w:cs="Arial"/>
          <w:b/>
          <w:noProof/>
          <w:sz w:val="24"/>
          <w:szCs w:val="24"/>
          <w:lang w:val="en-IE" w:eastAsia="en-IE"/>
        </w:rPr>
        <mc:AlternateContent>
          <mc:Choice Requires="wps">
            <w:drawing>
              <wp:anchor distT="0" distB="0" distL="114300" distR="114300" simplePos="0" relativeHeight="251665408" behindDoc="0" locked="0" layoutInCell="1" allowOverlap="1" wp14:anchorId="784E62AB" wp14:editId="722C3527">
                <wp:simplePos x="0" y="0"/>
                <wp:positionH relativeFrom="column">
                  <wp:posOffset>3490595</wp:posOffset>
                </wp:positionH>
                <wp:positionV relativeFrom="paragraph">
                  <wp:posOffset>62230</wp:posOffset>
                </wp:positionV>
                <wp:extent cx="1168400" cy="1033145"/>
                <wp:effectExtent l="0" t="0" r="31750" b="14605"/>
                <wp:wrapNone/>
                <wp:docPr id="11" name="Right Arrow Callout 11"/>
                <wp:cNvGraphicFramePr/>
                <a:graphic xmlns:a="http://schemas.openxmlformats.org/drawingml/2006/main">
                  <a:graphicData uri="http://schemas.microsoft.com/office/word/2010/wordprocessingShape">
                    <wps:wsp>
                      <wps:cNvSpPr/>
                      <wps:spPr>
                        <a:xfrm>
                          <a:off x="0" y="0"/>
                          <a:ext cx="1168400" cy="1033145"/>
                        </a:xfrm>
                        <a:prstGeom prst="rightArrowCallout">
                          <a:avLst/>
                        </a:prstGeom>
                        <a:solidFill>
                          <a:srgbClr val="00B050"/>
                        </a:solidFill>
                        <a:ln w="12700" cap="flat" cmpd="sng" algn="ctr">
                          <a:solidFill>
                            <a:srgbClr val="5B9BD5">
                              <a:shade val="50000"/>
                            </a:srgbClr>
                          </a:solidFill>
                          <a:prstDash val="solid"/>
                          <a:miter lim="800000"/>
                        </a:ln>
                        <a:effectLst/>
                      </wps:spPr>
                      <wps:txbx>
                        <w:txbxContent>
                          <w:p w:rsidR="00603A3B" w:rsidRDefault="00603A3B" w:rsidP="00603A3B">
                            <w:r>
                              <w:t>Group</w:t>
                            </w:r>
                          </w:p>
                          <w:p w:rsidR="00603A3B" w:rsidRDefault="00603A3B" w:rsidP="00603A3B">
                            <w:r>
                              <w:t>Therapy</w:t>
                            </w:r>
                          </w:p>
                          <w:p w:rsidR="00603A3B" w:rsidRDefault="00A51D87" w:rsidP="00603A3B">
                            <w:r>
                              <w:t>26</w:t>
                            </w:r>
                            <w:r w:rsidR="00603A3B">
                              <w:t xml:space="preserve"> weeks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Callout 11" o:spid="_x0000_s1029" type="#_x0000_t78" style="position:absolute;margin-left:274.85pt;margin-top:4.9pt;width:92pt;height:81.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" adj="14035,,16825" fillcolor="#00b050" strokecolor="#41719c" strokeweight="1pt">
                <v:textbox>
                  <w:txbxContent>
                    <w:p w:rsidR="00603A3B" w:rsidRDefault="00603A3B" w:rsidP="00603A3B">
                      <w:r>
                        <w:t>Group</w:t>
                      </w:r>
                    </w:p>
                    <w:p w:rsidR="00603A3B" w:rsidRDefault="00603A3B" w:rsidP="00603A3B">
                      <w:r>
                        <w:t>Therapy</w:t>
                      </w:r>
                    </w:p>
                    <w:p w:rsidR="00603A3B" w:rsidRDefault="00A51D87" w:rsidP="00603A3B">
                      <w:r>
                        <w:t>26</w:t>
                      </w:r>
                      <w:r w:rsidR="00603A3B">
                        <w:t xml:space="preserve"> weeks</w:t>
                      </w:r>
                    </w:p>
                  </w:txbxContent>
                </v:textbox>
              </v:shape>
            </w:pict>
          </mc:Fallback>
        </mc:AlternateContent>
      </w:r>
      <w:r w:rsidRPr="00A75220">
        <w:rPr>
          <w:rFonts w:ascii="Arial" w:hAnsi="Arial" w:cs="Arial"/>
          <w:b/>
          <w:noProof/>
          <w:sz w:val="24"/>
          <w:szCs w:val="24"/>
          <w:lang w:val="en-IE" w:eastAsia="en-IE"/>
        </w:rPr>
        <mc:AlternateContent>
          <mc:Choice Requires="wps">
            <w:drawing>
              <wp:anchor distT="0" distB="0" distL="114300" distR="114300" simplePos="0" relativeHeight="251666432" behindDoc="0" locked="0" layoutInCell="1" allowOverlap="1" wp14:anchorId="24FFFCC0" wp14:editId="0B9014AA">
                <wp:simplePos x="0" y="0"/>
                <wp:positionH relativeFrom="column">
                  <wp:posOffset>4660246</wp:posOffset>
                </wp:positionH>
                <wp:positionV relativeFrom="paragraph">
                  <wp:posOffset>48421</wp:posOffset>
                </wp:positionV>
                <wp:extent cx="1168400" cy="1033145"/>
                <wp:effectExtent l="0" t="0" r="31750" b="14605"/>
                <wp:wrapNone/>
                <wp:docPr id="12" name="Right Arrow Callout 12"/>
                <wp:cNvGraphicFramePr/>
                <a:graphic xmlns:a="http://schemas.openxmlformats.org/drawingml/2006/main">
                  <a:graphicData uri="http://schemas.microsoft.com/office/word/2010/wordprocessingShape">
                    <wps:wsp>
                      <wps:cNvSpPr/>
                      <wps:spPr>
                        <a:xfrm>
                          <a:off x="0" y="0"/>
                          <a:ext cx="1168400" cy="1033145"/>
                        </a:xfrm>
                        <a:prstGeom prst="rightArrowCallout">
                          <a:avLst/>
                        </a:prstGeom>
                        <a:solidFill>
                          <a:srgbClr val="00B050"/>
                        </a:solidFill>
                        <a:ln w="12700" cap="flat" cmpd="sng" algn="ctr">
                          <a:solidFill>
                            <a:srgbClr val="5B9BD5">
                              <a:shade val="50000"/>
                            </a:srgbClr>
                          </a:solidFill>
                          <a:prstDash val="solid"/>
                          <a:miter lim="800000"/>
                        </a:ln>
                        <a:effectLst/>
                      </wps:spPr>
                      <wps:txbx>
                        <w:txbxContent>
                          <w:p w:rsidR="00603A3B" w:rsidRDefault="00603A3B" w:rsidP="00603A3B">
                            <w:pPr>
                              <w:jc w:val="center"/>
                            </w:pPr>
                            <w:r>
                              <w:t>After</w:t>
                            </w:r>
                          </w:p>
                          <w:p w:rsidR="00603A3B" w:rsidRDefault="00603A3B" w:rsidP="00603A3B">
                            <w:pPr>
                              <w:jc w:val="center"/>
                            </w:pPr>
                            <w:r>
                              <w:t>Care</w:t>
                            </w:r>
                          </w:p>
                          <w:p w:rsidR="00603A3B" w:rsidRDefault="00A51D87" w:rsidP="00603A3B">
                            <w:pPr>
                              <w:jc w:val="center"/>
                            </w:pPr>
                            <w:r>
                              <w:t>26</w:t>
                            </w:r>
                            <w:r w:rsidR="00603A3B">
                              <w:t xml:space="preserve"> weeks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Callout 12" o:spid="_x0000_s1030" type="#_x0000_t78" style="position:absolute;margin-left:366.95pt;margin-top:3.8pt;width:92pt;height:81.3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" adj="14035,,16825" fillcolor="#00b050" strokecolor="#41719c" strokeweight="1pt">
                <v:textbox>
                  <w:txbxContent>
                    <w:p w:rsidR="00603A3B" w:rsidRDefault="00603A3B" w:rsidP="00603A3B">
                      <w:pPr>
                        <w:jc w:val="center"/>
                      </w:pPr>
                      <w:r>
                        <w:t>After</w:t>
                      </w:r>
                    </w:p>
                    <w:p w:rsidR="00603A3B" w:rsidRDefault="00603A3B" w:rsidP="00603A3B">
                      <w:pPr>
                        <w:jc w:val="center"/>
                      </w:pPr>
                      <w:r>
                        <w:t>Care</w:t>
                      </w:r>
                    </w:p>
                    <w:p w:rsidR="00603A3B" w:rsidRDefault="00A51D87" w:rsidP="00603A3B">
                      <w:pPr>
                        <w:jc w:val="center"/>
                      </w:pPr>
                      <w:r>
                        <w:t>26</w:t>
                      </w:r>
                      <w:r w:rsidR="00603A3B">
                        <w:t xml:space="preserve"> weeks</w:t>
                      </w:r>
                    </w:p>
                  </w:txbxContent>
                </v:textbox>
              </v:shape>
            </w:pict>
          </mc:Fallback>
        </mc:AlternateContent>
      </w:r>
      <w:r w:rsidR="00603A3B" w:rsidRPr="00A75220">
        <w:rPr>
          <w:rFonts w:ascii="Arial" w:hAnsi="Arial" w:cs="Arial"/>
          <w:b/>
          <w:noProof/>
          <w:sz w:val="24"/>
          <w:szCs w:val="24"/>
          <w:lang w:val="en-IE" w:eastAsia="en-IE"/>
        </w:rPr>
        <mc:AlternateContent>
          <mc:Choice Requires="wps">
            <w:drawing>
              <wp:anchor distT="0" distB="0" distL="114300" distR="114300" simplePos="0" relativeHeight="251661312" behindDoc="0" locked="0" layoutInCell="1" allowOverlap="1" wp14:anchorId="3175791A" wp14:editId="02B3AEE5">
                <wp:simplePos x="0" y="0"/>
                <wp:positionH relativeFrom="column">
                  <wp:posOffset>-223520</wp:posOffset>
                </wp:positionH>
                <wp:positionV relativeFrom="paragraph">
                  <wp:posOffset>84455</wp:posOffset>
                </wp:positionV>
                <wp:extent cx="897890" cy="594995"/>
                <wp:effectExtent l="19050" t="19050" r="35560" b="33655"/>
                <wp:wrapNone/>
                <wp:docPr id="6" name="Notched Right Arrow 6"/>
                <wp:cNvGraphicFramePr/>
                <a:graphic xmlns:a="http://schemas.openxmlformats.org/drawingml/2006/main">
                  <a:graphicData uri="http://schemas.microsoft.com/office/word/2010/wordprocessingShape">
                    <wps:wsp>
                      <wps:cNvSpPr/>
                      <wps:spPr>
                        <a:xfrm>
                          <a:off x="0" y="0"/>
                          <a:ext cx="897890" cy="594995"/>
                        </a:xfrm>
                        <a:prstGeom prst="notchedRightArrow">
                          <a:avLst/>
                        </a:prstGeom>
                        <a:solidFill>
                          <a:srgbClr val="00B050"/>
                        </a:solidFill>
                        <a:ln w="12700" cap="flat" cmpd="sng" algn="ctr">
                          <a:solidFill>
                            <a:srgbClr val="5B9BD5">
                              <a:shade val="50000"/>
                            </a:srgbClr>
                          </a:solidFill>
                          <a:prstDash val="solid"/>
                          <a:miter lim="800000"/>
                        </a:ln>
                        <a:effectLst/>
                      </wps:spPr>
                      <wps:txbx>
                        <w:txbxContent>
                          <w:p w:rsidR="00603A3B" w:rsidRDefault="00603A3B" w:rsidP="00603A3B">
                            <w:pPr>
                              <w:jc w:val="center"/>
                            </w:pPr>
                            <w:r>
                              <w:t>AA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Notched Right Arrow 6" o:spid="_x0000_s1031" type="#_x0000_t94" style="position:absolute;margin-left:-17.6pt;margin-top:6.65pt;width:70.7pt;height:4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" adj="14443" fillcolor="#00b050" strokecolor="#41719c" strokeweight="1pt">
                <v:textbox>
                  <w:txbxContent>
                    <w:p w:rsidR="00603A3B" w:rsidRDefault="00603A3B" w:rsidP="00603A3B">
                      <w:pPr>
                        <w:jc w:val="center"/>
                      </w:pPr>
                      <w:r>
                        <w:t>AA</w:t>
                      </w:r>
                    </w:p>
                  </w:txbxContent>
                </v:textbox>
              </v:shape>
            </w:pict>
          </mc:Fallback>
        </mc:AlternateContent>
      </w:r>
    </w:p>
    <w:p w:rsidR="00603A3B" w:rsidRPr="00A75220" w:rsidRDefault="00603A3B" w:rsidP="00603A3B">
      <w:pPr>
        <w:rPr>
          <w:rFonts w:ascii="Arial" w:hAnsi="Arial" w:cs="Arial"/>
          <w:b/>
          <w:sz w:val="24"/>
          <w:szCs w:val="24"/>
        </w:rPr>
      </w:pPr>
      <w:r w:rsidRPr="00A75220">
        <w:rPr>
          <w:rFonts w:ascii="Arial" w:hAnsi="Arial" w:cs="Arial"/>
          <w:b/>
          <w:noProof/>
          <w:sz w:val="24"/>
          <w:szCs w:val="24"/>
          <w:lang w:val="en-IE" w:eastAsia="en-IE"/>
        </w:rPr>
        <mc:AlternateContent>
          <mc:Choice Requires="wps">
            <w:drawing>
              <wp:anchor distT="0" distB="0" distL="114300" distR="114300" simplePos="0" relativeHeight="251660288" behindDoc="0" locked="0" layoutInCell="1" allowOverlap="1" wp14:anchorId="42492F81" wp14:editId="0CB03711">
                <wp:simplePos x="0" y="0"/>
                <wp:positionH relativeFrom="column">
                  <wp:posOffset>-227804</wp:posOffset>
                </wp:positionH>
                <wp:positionV relativeFrom="paragraph">
                  <wp:posOffset>312714</wp:posOffset>
                </wp:positionV>
                <wp:extent cx="897255" cy="508635"/>
                <wp:effectExtent l="19050" t="19050" r="36195" b="43815"/>
                <wp:wrapNone/>
                <wp:docPr id="5" name="Notched Right Arrow 5"/>
                <wp:cNvGraphicFramePr/>
                <a:graphic xmlns:a="http://schemas.openxmlformats.org/drawingml/2006/main">
                  <a:graphicData uri="http://schemas.microsoft.com/office/word/2010/wordprocessingShape">
                    <wps:wsp>
                      <wps:cNvSpPr/>
                      <wps:spPr>
                        <a:xfrm>
                          <a:off x="0" y="0"/>
                          <a:ext cx="897255" cy="508635"/>
                        </a:xfrm>
                        <a:prstGeom prst="notchedRightArrow">
                          <a:avLst/>
                        </a:prstGeom>
                        <a:solidFill>
                          <a:srgbClr val="00B050"/>
                        </a:solidFill>
                        <a:ln w="12700" cap="flat" cmpd="sng" algn="ctr">
                          <a:solidFill>
                            <a:srgbClr val="5B9BD5">
                              <a:shade val="50000"/>
                            </a:srgbClr>
                          </a:solidFill>
                          <a:prstDash val="solid"/>
                          <a:miter lim="800000"/>
                        </a:ln>
                        <a:effectLst/>
                      </wps:spPr>
                      <wps:txbx>
                        <w:txbxContent>
                          <w:p w:rsidR="00603A3B" w:rsidRPr="000B3889" w:rsidRDefault="00603A3B" w:rsidP="00603A3B">
                            <w:r w:rsidRPr="000B3889">
                              <w:t>Agency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Notched Right Arrow 5" o:spid="_x0000_s1032" type="#_x0000_t94" style="position:absolute;margin-left:-17.95pt;margin-top:24.6pt;width:70.65pt;height:4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" adj="15478" fillcolor="#00b050" strokecolor="#41719c" strokeweight="1pt">
                <v:textbox>
                  <w:txbxContent>
                    <w:p w:rsidR="00603A3B" w:rsidRPr="000B3889" w:rsidRDefault="00603A3B" w:rsidP="00603A3B">
                      <w:r w:rsidRPr="000B3889">
                        <w:t>Agency</w:t>
                      </w:r>
                    </w:p>
                  </w:txbxContent>
                </v:textbox>
              </v:shape>
            </w:pict>
          </mc:Fallback>
        </mc:AlternateContent>
      </w:r>
    </w:p>
    <w:p w:rsidR="002A7741" w:rsidRDefault="002A7741" w:rsidP="00C777BE">
      <w:pPr>
        <w:pStyle w:val="Heading1"/>
        <w:rPr>
          <w:color w:val="00B050"/>
        </w:rPr>
      </w:pPr>
    </w:p>
    <w:p w:rsidR="00C777BE" w:rsidRPr="006238A8" w:rsidRDefault="00C777BE" w:rsidP="00C777BE">
      <w:pPr>
        <w:pStyle w:val="Heading1"/>
        <w:rPr>
          <w:color w:val="00B050"/>
        </w:rPr>
      </w:pPr>
      <w:r w:rsidRPr="006238A8">
        <w:rPr>
          <w:color w:val="00B050"/>
        </w:rPr>
        <w:t xml:space="preserve">The Work over </w:t>
      </w:r>
      <w:r w:rsidR="008A2781" w:rsidRPr="006238A8">
        <w:rPr>
          <w:color w:val="00B050"/>
        </w:rPr>
        <w:t>t</w:t>
      </w:r>
      <w:r w:rsidRPr="006238A8">
        <w:rPr>
          <w:color w:val="00B050"/>
        </w:rPr>
        <w:t>he Past Two Years:</w:t>
      </w:r>
    </w:p>
    <w:p w:rsidR="00AB7DCA" w:rsidRDefault="00AB7DCA" w:rsidP="00AB7DCA"/>
    <w:p w:rsidR="00AB7DCA" w:rsidRDefault="00AB7DCA" w:rsidP="00AB7DCA">
      <w:pPr>
        <w:rPr>
          <w:sz w:val="20"/>
          <w:szCs w:val="20"/>
        </w:rPr>
      </w:pPr>
      <w:r w:rsidRPr="00AB7DCA">
        <w:rPr>
          <w:sz w:val="20"/>
          <w:szCs w:val="20"/>
        </w:rPr>
        <w:t xml:space="preserve">After an initial period in 2012 </w:t>
      </w:r>
      <w:r w:rsidR="00CB53FC">
        <w:rPr>
          <w:sz w:val="20"/>
          <w:szCs w:val="20"/>
        </w:rPr>
        <w:t>when the project was in temporary and occasional premises, the work settled down in 2013.  The project then went from offering a psychoeducational group and individual counselling on two days a week to offering group therapy, psychoeducational programmes and individual counselling initially over a three day week and then over a five day week.</w:t>
      </w:r>
    </w:p>
    <w:p w:rsidR="00CB53FC" w:rsidRDefault="00CB53FC" w:rsidP="00AB7DCA">
      <w:pPr>
        <w:rPr>
          <w:sz w:val="20"/>
          <w:szCs w:val="20"/>
        </w:rPr>
      </w:pPr>
      <w:r>
        <w:rPr>
          <w:sz w:val="20"/>
          <w:szCs w:val="20"/>
        </w:rPr>
        <w:t>The clients who attended in those initial months now form the core of our Aftercare Programme and our Service User Forum. They are now in their second year of treatment with the project and many will be finishing soon to naturally re-establish themselves in the world of employment.</w:t>
      </w:r>
    </w:p>
    <w:p w:rsidR="002022C7" w:rsidRPr="00DA6159" w:rsidRDefault="00CB53FC" w:rsidP="00603A3B">
      <w:pPr>
        <w:rPr>
          <w:sz w:val="20"/>
          <w:szCs w:val="20"/>
        </w:rPr>
      </w:pPr>
      <w:r>
        <w:rPr>
          <w:sz w:val="20"/>
          <w:szCs w:val="20"/>
        </w:rPr>
        <w:t xml:space="preserve">The following graph indicates how the project has grown since those early days in 2013, with referrals increasing, and the demand for more groups as a result. </w:t>
      </w:r>
    </w:p>
    <w:p w:rsidR="00603A3B" w:rsidRDefault="00F65EED" w:rsidP="00603A3B">
      <w:pPr>
        <w:rPr>
          <w:b/>
          <w:color w:val="00B050"/>
          <w:u w:val="thick"/>
        </w:rPr>
      </w:pPr>
      <w:proofErr w:type="gramStart"/>
      <w:r w:rsidRPr="002A7741">
        <w:rPr>
          <w:b/>
          <w:color w:val="00B050"/>
          <w:u w:val="thick"/>
        </w:rPr>
        <w:t>number</w:t>
      </w:r>
      <w:proofErr w:type="gramEnd"/>
      <w:r w:rsidRPr="002A7741">
        <w:rPr>
          <w:b/>
          <w:color w:val="00B050"/>
          <w:u w:val="thick"/>
        </w:rPr>
        <w:t xml:space="preserve"> of referrals over past two years</w:t>
      </w:r>
    </w:p>
    <w:p w:rsidR="002022C7" w:rsidRPr="002A7741" w:rsidRDefault="002022C7" w:rsidP="00603A3B">
      <w:pPr>
        <w:rPr>
          <w:b/>
          <w:color w:val="00B050"/>
          <w:u w:val="thick"/>
        </w:rPr>
      </w:pPr>
    </w:p>
    <w:p w:rsidR="008A2781" w:rsidRDefault="0086588A" w:rsidP="008A2781">
      <w:pPr>
        <w:rPr>
          <w:b/>
          <w:u w:val="thick"/>
        </w:rPr>
      </w:pPr>
      <w:r>
        <w:rPr>
          <w:noProof/>
          <w:lang w:val="en-IE" w:eastAsia="en-IE"/>
        </w:rPr>
        <w:drawing>
          <wp:inline distT="0" distB="0" distL="0" distR="0" wp14:anchorId="5F3D516E" wp14:editId="4E69C306">
            <wp:extent cx="5889009" cy="2047164"/>
            <wp:effectExtent l="0" t="0" r="16510" b="1079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65EED" w:rsidRDefault="00F65EED" w:rsidP="008A2781">
      <w:pPr>
        <w:rPr>
          <w:sz w:val="20"/>
          <w:szCs w:val="20"/>
        </w:rPr>
      </w:pPr>
      <w:r w:rsidRPr="00F65EED">
        <w:rPr>
          <w:sz w:val="20"/>
          <w:szCs w:val="20"/>
        </w:rPr>
        <w:t>Wherea</w:t>
      </w:r>
      <w:r>
        <w:rPr>
          <w:sz w:val="20"/>
          <w:szCs w:val="20"/>
        </w:rPr>
        <w:t xml:space="preserve">s the project was able </w:t>
      </w:r>
      <w:r w:rsidR="005045B7">
        <w:rPr>
          <w:sz w:val="20"/>
          <w:szCs w:val="20"/>
        </w:rPr>
        <w:t xml:space="preserve">to run </w:t>
      </w:r>
      <w:r>
        <w:rPr>
          <w:sz w:val="20"/>
          <w:szCs w:val="20"/>
        </w:rPr>
        <w:t xml:space="preserve">a </w:t>
      </w:r>
      <w:r w:rsidR="005045B7">
        <w:rPr>
          <w:sz w:val="20"/>
          <w:szCs w:val="20"/>
        </w:rPr>
        <w:t>discrete</w:t>
      </w:r>
      <w:r>
        <w:rPr>
          <w:sz w:val="20"/>
          <w:szCs w:val="20"/>
        </w:rPr>
        <w:t xml:space="preserve"> number of psychoeducational programmes in 2013, by early 2014 the numbers attending had ensured that these two programmes were run on a continuous basis.  This has meant that support for individuals looking for treatment has been changed and some people will be waiting for some weeks to join the basic information programme but will receive support through Motivational Interviewing and some client centered counselling while they are waiting.  This situation exists in part due to the size of the building and also due to staffing levels.</w:t>
      </w:r>
    </w:p>
    <w:p w:rsidR="00F65EED" w:rsidRDefault="00F65EED" w:rsidP="008A2781">
      <w:pPr>
        <w:rPr>
          <w:sz w:val="20"/>
          <w:szCs w:val="20"/>
        </w:rPr>
      </w:pPr>
      <w:r>
        <w:rPr>
          <w:sz w:val="20"/>
          <w:szCs w:val="20"/>
        </w:rPr>
        <w:t>The knock-on effect of the increased numbers has led to the creation of a second Treatment Group which now supports people coming from the Relapse Prevention Programme. The original treatment group is operating as usual at capacity, which is 10+ clients (but no more than 12).</w:t>
      </w:r>
      <w:r w:rsidR="00A543F3">
        <w:rPr>
          <w:sz w:val="20"/>
          <w:szCs w:val="20"/>
        </w:rPr>
        <w:t xml:space="preserve">  The second treatment group has 6+ clients attending, while at this point, January 2015, there are 15 new clients attending the cycle of psychoeducational programmes.</w:t>
      </w:r>
    </w:p>
    <w:p w:rsidR="00A51D87" w:rsidRDefault="00A543F3" w:rsidP="008A2781">
      <w:pPr>
        <w:rPr>
          <w:sz w:val="20"/>
          <w:szCs w:val="20"/>
        </w:rPr>
      </w:pPr>
      <w:r>
        <w:rPr>
          <w:sz w:val="20"/>
          <w:szCs w:val="20"/>
        </w:rPr>
        <w:t xml:space="preserve">The Aftercare Group meets every Thursday and currently has 14 attendees.  This group </w:t>
      </w:r>
      <w:r w:rsidR="005045B7">
        <w:rPr>
          <w:sz w:val="20"/>
          <w:szCs w:val="20"/>
        </w:rPr>
        <w:t>has</w:t>
      </w:r>
      <w:r>
        <w:rPr>
          <w:sz w:val="20"/>
          <w:szCs w:val="20"/>
        </w:rPr>
        <w:t xml:space="preserve"> formed a strong bond and are a positive influence on those coming along in the Treatment Groups.  They offer indications of a sober and contented life without drink while also acknowledging the struggles to be faced along the way.  Late in 2014, this group requested </w:t>
      </w:r>
      <w:r w:rsidR="00901942">
        <w:rPr>
          <w:sz w:val="20"/>
          <w:szCs w:val="20"/>
        </w:rPr>
        <w:t>that the project introduce an Alcoholics Anonymous</w:t>
      </w:r>
      <w:r>
        <w:rPr>
          <w:sz w:val="20"/>
          <w:szCs w:val="20"/>
        </w:rPr>
        <w:t xml:space="preserve"> </w:t>
      </w:r>
      <w:r w:rsidR="00C43861">
        <w:rPr>
          <w:sz w:val="20"/>
          <w:szCs w:val="20"/>
        </w:rPr>
        <w:t xml:space="preserve">meeting </w:t>
      </w:r>
      <w:r>
        <w:rPr>
          <w:sz w:val="20"/>
          <w:szCs w:val="20"/>
        </w:rPr>
        <w:t>on an occasional basis.  This has just commenced and was very well attended with c.16 clients from the Aftercare Group and</w:t>
      </w:r>
      <w:r w:rsidR="00DA6159">
        <w:rPr>
          <w:sz w:val="20"/>
          <w:szCs w:val="20"/>
        </w:rPr>
        <w:t xml:space="preserve"> the two Treatment Groups there.</w:t>
      </w:r>
    </w:p>
    <w:p w:rsidR="00C43861" w:rsidRPr="00F053F5" w:rsidRDefault="00E223CF" w:rsidP="008A2781">
      <w:pPr>
        <w:rPr>
          <w:b/>
          <w:color w:val="00B050"/>
          <w:sz w:val="20"/>
          <w:szCs w:val="20"/>
          <w:u w:val="thick"/>
        </w:rPr>
      </w:pPr>
      <w:proofErr w:type="gramStart"/>
      <w:r>
        <w:rPr>
          <w:b/>
          <w:color w:val="00B050"/>
          <w:sz w:val="20"/>
          <w:szCs w:val="20"/>
          <w:u w:val="thick"/>
        </w:rPr>
        <w:t>C</w:t>
      </w:r>
      <w:r w:rsidR="00C43861" w:rsidRPr="00F053F5">
        <w:rPr>
          <w:b/>
          <w:color w:val="00B050"/>
          <w:sz w:val="20"/>
          <w:szCs w:val="20"/>
          <w:u w:val="thick"/>
        </w:rPr>
        <w:t>lients in various groups over the two years.</w:t>
      </w:r>
      <w:proofErr w:type="gramEnd"/>
    </w:p>
    <w:p w:rsidR="00C43861" w:rsidRDefault="003B242A" w:rsidP="008A2781">
      <w:pPr>
        <w:rPr>
          <w:b/>
          <w:sz w:val="20"/>
          <w:szCs w:val="20"/>
          <w:u w:val="thick"/>
        </w:rPr>
      </w:pPr>
      <w:r>
        <w:rPr>
          <w:noProof/>
          <w:lang w:val="en-IE" w:eastAsia="en-IE"/>
        </w:rPr>
        <w:drawing>
          <wp:inline distT="0" distB="0" distL="0" distR="0" wp14:anchorId="393DE045" wp14:editId="2315ACF0">
            <wp:extent cx="6114197" cy="3275463"/>
            <wp:effectExtent l="0" t="0" r="20320" b="2032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F2D09" w:rsidRDefault="009F2D09" w:rsidP="009F2D09">
      <w:pPr>
        <w:pStyle w:val="Heading1"/>
      </w:pPr>
      <w:r w:rsidRPr="00A51D87">
        <w:rPr>
          <w:color w:val="00B050"/>
        </w:rPr>
        <w:t>The Breakfast Meeting</w:t>
      </w:r>
    </w:p>
    <w:p w:rsidR="009F2D09" w:rsidRPr="009F2D09" w:rsidRDefault="009F2D09" w:rsidP="009F2D09"/>
    <w:p w:rsidR="009F2D09" w:rsidRDefault="009F2D09" w:rsidP="009F2D09">
      <w:pPr>
        <w:rPr>
          <w:sz w:val="20"/>
          <w:szCs w:val="20"/>
        </w:rPr>
      </w:pPr>
      <w:r w:rsidRPr="009F2D09">
        <w:rPr>
          <w:sz w:val="20"/>
          <w:szCs w:val="20"/>
        </w:rPr>
        <w:t xml:space="preserve">The </w:t>
      </w:r>
      <w:r>
        <w:rPr>
          <w:sz w:val="20"/>
          <w:szCs w:val="20"/>
        </w:rPr>
        <w:t>project hosts a once monthly breakfast for all those clients who are committed to abstinence and are either attending a Treatment Group or the Aftercare Group.  This serves a dual function of allowing a relaxed venue where clients can acquaint themselves with the next group they are considering and also it encourages confidence in socializing without alcohol.  The Breakfast Morning is usually on the third Friday of the month and has been very well attended since it was started in September 2014.  This is now followed by the Alcoholics Anonymous meeting and supplies a good basis for the weekend ahead, and a positive experience of living for all concerned.</w:t>
      </w:r>
    </w:p>
    <w:p w:rsidR="009F2D09" w:rsidRPr="00A51D87" w:rsidRDefault="009F2D09" w:rsidP="009F2D09">
      <w:pPr>
        <w:pStyle w:val="Heading1"/>
        <w:rPr>
          <w:color w:val="00B050"/>
        </w:rPr>
      </w:pPr>
      <w:r w:rsidRPr="00A51D87">
        <w:rPr>
          <w:color w:val="00B050"/>
        </w:rPr>
        <w:t>The Project’s Other Services:</w:t>
      </w:r>
    </w:p>
    <w:p w:rsidR="009F2D09" w:rsidRPr="009F2D09" w:rsidRDefault="009F2D09" w:rsidP="009F2D09">
      <w:pPr>
        <w:rPr>
          <w:sz w:val="20"/>
          <w:szCs w:val="20"/>
        </w:rPr>
      </w:pPr>
    </w:p>
    <w:p w:rsidR="009F2D09" w:rsidRDefault="009F2D09" w:rsidP="009F2D09">
      <w:pPr>
        <w:rPr>
          <w:sz w:val="20"/>
          <w:szCs w:val="20"/>
        </w:rPr>
      </w:pPr>
      <w:r w:rsidRPr="009F2D09">
        <w:rPr>
          <w:sz w:val="20"/>
          <w:szCs w:val="20"/>
        </w:rPr>
        <w:t xml:space="preserve">The project has </w:t>
      </w:r>
      <w:r>
        <w:rPr>
          <w:sz w:val="20"/>
          <w:szCs w:val="20"/>
        </w:rPr>
        <w:t xml:space="preserve">offered a weekly walk-in clinic in Beaumont Hospital in conjunction with Liaison Psychiatry since its inception in 2012.  The clinic itself is a brief intervention clinic and supplies information to patients about alcohol misuse and treatment options.  The patients attending are predominantly from the Accident &amp; Emergency Department where they have been seen in relation to issues such as deliberate </w:t>
      </w:r>
      <w:r w:rsidR="00543A6A">
        <w:rPr>
          <w:sz w:val="20"/>
          <w:szCs w:val="20"/>
        </w:rPr>
        <w:t xml:space="preserve">Self-Harm or alcohol withdrawal </w:t>
      </w:r>
      <w:r>
        <w:rPr>
          <w:sz w:val="20"/>
          <w:szCs w:val="20"/>
        </w:rPr>
        <w:t>issues.  The uptake into the project from this clinic has been significant and has been in the region of 37% for 2013 and 2014.</w:t>
      </w:r>
    </w:p>
    <w:p w:rsidR="009F2D09" w:rsidRPr="009F2D09" w:rsidRDefault="009F2D09" w:rsidP="009F2D09">
      <w:r>
        <w:rPr>
          <w:sz w:val="20"/>
          <w:szCs w:val="20"/>
        </w:rPr>
        <w:t>A similar facility has been in operation with the Mater Hospital whereby direct referrals are made from the Accident &amp; Emergency Department by phone and or fax to the project.</w:t>
      </w:r>
    </w:p>
    <w:p w:rsidR="006F06AC" w:rsidRDefault="006F06AC" w:rsidP="00C777BE">
      <w:pPr>
        <w:rPr>
          <w:sz w:val="20"/>
          <w:szCs w:val="20"/>
        </w:rPr>
      </w:pPr>
    </w:p>
    <w:p w:rsidR="002022C7" w:rsidRDefault="009E56CD" w:rsidP="00C777BE">
      <w:pPr>
        <w:rPr>
          <w:sz w:val="20"/>
          <w:szCs w:val="20"/>
        </w:rPr>
      </w:pPr>
      <w:r w:rsidRPr="009E56CD">
        <w:rPr>
          <w:noProof/>
          <w:color w:val="00B050"/>
          <w:lang w:val="en-IE" w:eastAsia="en-IE"/>
        </w:rPr>
        <w:drawing>
          <wp:inline distT="0" distB="0" distL="0" distR="0" wp14:anchorId="334A2237" wp14:editId="3E0F592B">
            <wp:extent cx="5923128" cy="2859206"/>
            <wp:effectExtent l="0" t="0" r="20955" b="177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51D87" w:rsidRDefault="00FD7C27" w:rsidP="00C777BE">
      <w:pPr>
        <w:rPr>
          <w:sz w:val="20"/>
          <w:szCs w:val="20"/>
        </w:rPr>
      </w:pPr>
      <w:r>
        <w:rPr>
          <w:noProof/>
          <w:lang w:val="en-IE" w:eastAsia="en-IE"/>
        </w:rPr>
        <w:drawing>
          <wp:inline distT="0" distB="0" distL="0" distR="0" wp14:anchorId="6DDCA182" wp14:editId="442CDEBB">
            <wp:extent cx="5923128" cy="3370998"/>
            <wp:effectExtent l="0" t="0" r="20955" b="2032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9F2D09" w:rsidRDefault="009F2D09" w:rsidP="00C777BE">
      <w:pPr>
        <w:rPr>
          <w:sz w:val="20"/>
          <w:szCs w:val="20"/>
        </w:rPr>
      </w:pPr>
      <w:r>
        <w:rPr>
          <w:sz w:val="20"/>
          <w:szCs w:val="20"/>
        </w:rPr>
        <w:t>Additionally, the project has supported the Social Work Team in Dublin City Council by offering training around alcohol misuse and tenancies.  There has been significant work to help clients protect their tenancies by dealing with arrears and other issues that have arisen due to alcohol.</w:t>
      </w:r>
    </w:p>
    <w:p w:rsidR="009F2D09" w:rsidRDefault="00901942" w:rsidP="00C777BE">
      <w:pPr>
        <w:rPr>
          <w:sz w:val="20"/>
          <w:szCs w:val="20"/>
        </w:rPr>
      </w:pPr>
      <w:r>
        <w:rPr>
          <w:sz w:val="20"/>
          <w:szCs w:val="20"/>
        </w:rPr>
        <w:t>In 2013 the project ran a day conference highlighting the effects of drinking on the family.  This was well attended and offered the experiences of professionals working with families and children, research findings from The National Advisory Council on Drugs and the life experience of an individual who had grown up in an alcoholic home.</w:t>
      </w:r>
    </w:p>
    <w:p w:rsidR="00DF70B9" w:rsidRPr="002022C7" w:rsidRDefault="00901942" w:rsidP="002022C7">
      <w:pPr>
        <w:rPr>
          <w:sz w:val="20"/>
          <w:szCs w:val="20"/>
        </w:rPr>
      </w:pPr>
      <w:r>
        <w:rPr>
          <w:sz w:val="20"/>
          <w:szCs w:val="20"/>
        </w:rPr>
        <w:t>The project has participated in the “Strengthening Families Programme” in 2014 and has plans to support the national training programme in brief interventions by training a staff member to the standard of a trainer for the programme.  Another staff member is currently training in the “Strengthening Families” method and it is hoped that 2015 will offer the opportunity for the project to train in the “5 Step Method” of the “Family Support Network”.</w:t>
      </w:r>
    </w:p>
    <w:p w:rsidR="00A44242" w:rsidRPr="001A3776" w:rsidRDefault="00543A6A" w:rsidP="00A44242">
      <w:pPr>
        <w:autoSpaceDE w:val="0"/>
        <w:autoSpaceDN w:val="0"/>
        <w:adjustRightInd w:val="0"/>
        <w:spacing w:after="200" w:line="276" w:lineRule="auto"/>
        <w:rPr>
          <w:rFonts w:ascii="Calibri" w:hAnsi="Calibri" w:cs="Calibri"/>
          <w:b/>
          <w:bCs/>
          <w:i/>
          <w:color w:val="000000"/>
          <w:sz w:val="28"/>
          <w:szCs w:val="28"/>
          <w:lang w:val="en"/>
        </w:rPr>
      </w:pPr>
      <w:r>
        <w:rPr>
          <w:rFonts w:ascii="Calibri" w:hAnsi="Calibri" w:cs="Calibri"/>
          <w:b/>
          <w:bCs/>
          <w:i/>
          <w:color w:val="000000"/>
          <w:sz w:val="28"/>
          <w:szCs w:val="28"/>
          <w:lang w:val="en"/>
        </w:rPr>
        <w:t>Client C – Á</w:t>
      </w:r>
      <w:r w:rsidR="00A44242" w:rsidRPr="001A3776">
        <w:rPr>
          <w:rFonts w:ascii="Calibri" w:hAnsi="Calibri" w:cs="Calibri"/>
          <w:b/>
          <w:bCs/>
          <w:i/>
          <w:color w:val="000000"/>
          <w:sz w:val="28"/>
          <w:szCs w:val="28"/>
          <w:lang w:val="en"/>
        </w:rPr>
        <w:t>it Linn</w:t>
      </w:r>
    </w:p>
    <w:p w:rsidR="008F5C00" w:rsidRDefault="00543A6A" w:rsidP="00816A8C">
      <w:pPr>
        <w:autoSpaceDE w:val="0"/>
        <w:autoSpaceDN w:val="0"/>
        <w:adjustRightInd w:val="0"/>
        <w:spacing w:after="200" w:line="276" w:lineRule="auto"/>
        <w:rPr>
          <w:rFonts w:ascii="Calibri" w:hAnsi="Calibri" w:cs="Calibri"/>
          <w:b/>
          <w:bCs/>
          <w:i/>
          <w:color w:val="000000"/>
          <w:sz w:val="24"/>
          <w:szCs w:val="24"/>
          <w:lang w:val="en"/>
        </w:rPr>
      </w:pPr>
      <w:r>
        <w:rPr>
          <w:rFonts w:ascii="Calibri" w:hAnsi="Calibri" w:cs="Calibri"/>
          <w:b/>
          <w:bCs/>
          <w:i/>
          <w:color w:val="000000"/>
          <w:sz w:val="24"/>
          <w:szCs w:val="24"/>
          <w:lang w:val="en"/>
        </w:rPr>
        <w:t>The support I’m getting in Á</w:t>
      </w:r>
      <w:r w:rsidR="00A44242" w:rsidRPr="009343D3">
        <w:rPr>
          <w:rFonts w:ascii="Calibri" w:hAnsi="Calibri" w:cs="Calibri"/>
          <w:b/>
          <w:bCs/>
          <w:i/>
          <w:color w:val="000000"/>
          <w:sz w:val="24"/>
          <w:szCs w:val="24"/>
          <w:lang w:val="en"/>
        </w:rPr>
        <w:t>it Linn and the people I’m meeting, the support network again is amazing. I wouldn’t change it for anything. I started off a broken woman and today like a jigsaw slowly</w:t>
      </w:r>
      <w:r w:rsidR="008A68AB">
        <w:rPr>
          <w:rFonts w:ascii="Calibri" w:hAnsi="Calibri" w:cs="Calibri"/>
          <w:b/>
          <w:bCs/>
          <w:i/>
          <w:color w:val="000000"/>
          <w:sz w:val="24"/>
          <w:szCs w:val="24"/>
          <w:lang w:val="en"/>
        </w:rPr>
        <w:t xml:space="preserve"> taking shape - as in my life. Á</w:t>
      </w:r>
      <w:r w:rsidR="00A44242" w:rsidRPr="009343D3">
        <w:rPr>
          <w:rFonts w:ascii="Calibri" w:hAnsi="Calibri" w:cs="Calibri"/>
          <w:b/>
          <w:bCs/>
          <w:i/>
          <w:color w:val="000000"/>
          <w:sz w:val="24"/>
          <w:szCs w:val="24"/>
          <w:lang w:val="en"/>
        </w:rPr>
        <w:t>it Linn is my safe place to be, honest, my life, and nothin</w:t>
      </w:r>
      <w:r w:rsidR="008F5C00">
        <w:rPr>
          <w:rFonts w:ascii="Calibri" w:hAnsi="Calibri" w:cs="Calibri"/>
          <w:b/>
          <w:bCs/>
          <w:i/>
          <w:color w:val="000000"/>
          <w:sz w:val="24"/>
          <w:szCs w:val="24"/>
          <w:lang w:val="en"/>
        </w:rPr>
        <w:t>g would stop me making my group</w:t>
      </w:r>
    </w:p>
    <w:p w:rsidR="00816A8C" w:rsidRPr="00816A8C" w:rsidRDefault="00816A8C" w:rsidP="00816A8C">
      <w:pPr>
        <w:autoSpaceDE w:val="0"/>
        <w:autoSpaceDN w:val="0"/>
        <w:adjustRightInd w:val="0"/>
        <w:spacing w:after="200" w:line="276" w:lineRule="auto"/>
        <w:rPr>
          <w:rFonts w:ascii="Calibri" w:hAnsi="Calibri" w:cs="Calibri"/>
          <w:b/>
          <w:bCs/>
          <w:i/>
          <w:color w:val="000000"/>
          <w:sz w:val="24"/>
          <w:szCs w:val="24"/>
          <w:lang w:val="en"/>
        </w:rPr>
      </w:pPr>
    </w:p>
    <w:p w:rsidR="009F2D09" w:rsidRPr="002022C7" w:rsidRDefault="009F2D09" w:rsidP="00A44242">
      <w:pPr>
        <w:pStyle w:val="Heading1"/>
        <w:spacing w:before="360" w:after="0"/>
        <w:rPr>
          <w:color w:val="00B050"/>
        </w:rPr>
      </w:pPr>
      <w:r w:rsidRPr="002022C7">
        <w:rPr>
          <w:color w:val="00B050"/>
        </w:rPr>
        <w:t>Students:</w:t>
      </w:r>
    </w:p>
    <w:p w:rsidR="009F2D09" w:rsidRDefault="009F2D09" w:rsidP="009F2D09"/>
    <w:p w:rsidR="009F2D09" w:rsidRDefault="009F2D09" w:rsidP="009F2D09">
      <w:pPr>
        <w:rPr>
          <w:sz w:val="20"/>
          <w:szCs w:val="20"/>
        </w:rPr>
      </w:pPr>
      <w:r w:rsidRPr="009F2D09">
        <w:rPr>
          <w:sz w:val="20"/>
          <w:szCs w:val="20"/>
        </w:rPr>
        <w:t>1n 2014</w:t>
      </w:r>
      <w:r>
        <w:rPr>
          <w:sz w:val="20"/>
          <w:szCs w:val="20"/>
        </w:rPr>
        <w:t>, the project support</w:t>
      </w:r>
      <w:r w:rsidR="00757753">
        <w:rPr>
          <w:sz w:val="20"/>
          <w:szCs w:val="20"/>
        </w:rPr>
        <w:t xml:space="preserve">ed </w:t>
      </w:r>
      <w:r>
        <w:rPr>
          <w:sz w:val="20"/>
          <w:szCs w:val="20"/>
        </w:rPr>
        <w:t>the Dublin Simon Community, by offering training to their intern counsellor over a period of six months.  There has also been a student from the Masters in Psychotherapy (University College Dublin) on placement in the project since June 2014 and the project has been approached to have students from different courses in psychotherapy and social care.  These requests will be actively considered on the basis of supporting students wh</w:t>
      </w:r>
      <w:r w:rsidR="00757753">
        <w:rPr>
          <w:sz w:val="20"/>
          <w:szCs w:val="20"/>
        </w:rPr>
        <w:t>o</w:t>
      </w:r>
      <w:r>
        <w:rPr>
          <w:sz w:val="20"/>
          <w:szCs w:val="20"/>
        </w:rPr>
        <w:t xml:space="preserve"> have an interest </w:t>
      </w:r>
      <w:r w:rsidR="00594B8B">
        <w:rPr>
          <w:sz w:val="20"/>
          <w:szCs w:val="20"/>
        </w:rPr>
        <w:t xml:space="preserve">in a recovery model of addiction treatment and even more especially </w:t>
      </w:r>
      <w:r w:rsidR="00901942">
        <w:rPr>
          <w:sz w:val="20"/>
          <w:szCs w:val="20"/>
        </w:rPr>
        <w:t>in a systemic approach to addiction.</w:t>
      </w:r>
    </w:p>
    <w:p w:rsidR="00901942" w:rsidRPr="00B10BBD" w:rsidRDefault="00A44242" w:rsidP="00A44242">
      <w:pPr>
        <w:pStyle w:val="Heading1"/>
        <w:rPr>
          <w:color w:val="00B050"/>
        </w:rPr>
      </w:pPr>
      <w:r w:rsidRPr="00B10BBD">
        <w:rPr>
          <w:color w:val="00B050"/>
        </w:rPr>
        <w:t>The Way Forward:</w:t>
      </w:r>
    </w:p>
    <w:p w:rsidR="00A44242" w:rsidRDefault="00A44242" w:rsidP="00A44242"/>
    <w:p w:rsidR="00A44242" w:rsidRDefault="00A44242" w:rsidP="00A44242">
      <w:pPr>
        <w:rPr>
          <w:sz w:val="20"/>
          <w:szCs w:val="20"/>
        </w:rPr>
      </w:pPr>
      <w:r w:rsidRPr="00A44242">
        <w:rPr>
          <w:sz w:val="20"/>
          <w:szCs w:val="20"/>
        </w:rPr>
        <w:t xml:space="preserve">It </w:t>
      </w:r>
      <w:r>
        <w:rPr>
          <w:sz w:val="20"/>
          <w:szCs w:val="20"/>
        </w:rPr>
        <w:t>would be misleading to suggest that the project ha</w:t>
      </w:r>
      <w:r w:rsidR="00757753">
        <w:rPr>
          <w:sz w:val="20"/>
          <w:szCs w:val="20"/>
        </w:rPr>
        <w:t>s</w:t>
      </w:r>
      <w:r>
        <w:rPr>
          <w:sz w:val="20"/>
          <w:szCs w:val="20"/>
        </w:rPr>
        <w:t xml:space="preserve"> got everything it wanted both in physical/practical terms and in its therapeutic approach.  While we are delighted to have our premises, it is now full to overflowing and the only additional use that can be envisaged for it is at night. This however has implications in terms of staffing and also in terms of safety.  The area is pleasant during the day but clients can be nervous in the area at night.</w:t>
      </w:r>
    </w:p>
    <w:p w:rsidR="00A44242" w:rsidRDefault="00A44242" w:rsidP="00A44242">
      <w:pPr>
        <w:rPr>
          <w:sz w:val="20"/>
          <w:szCs w:val="20"/>
        </w:rPr>
      </w:pPr>
      <w:r>
        <w:rPr>
          <w:sz w:val="20"/>
          <w:szCs w:val="20"/>
        </w:rPr>
        <w:t>Therapeutically, while we continue to work on the Quality Standards in Drug and Alcohol, we also believe that we should review our programmes and ensure that they remain evidence based.  With this in mind, we hope to have a doctoral student from Trinity College examine our programmes under very specific criteria in 2015. We have already begun to amass the data required for this exercise.</w:t>
      </w:r>
    </w:p>
    <w:p w:rsidR="00A44242" w:rsidRDefault="00A44242" w:rsidP="00A44242">
      <w:pPr>
        <w:rPr>
          <w:sz w:val="20"/>
          <w:szCs w:val="20"/>
        </w:rPr>
      </w:pPr>
      <w:r>
        <w:rPr>
          <w:sz w:val="20"/>
          <w:szCs w:val="20"/>
        </w:rPr>
        <w:t>Our support to the two hospitals will remain and hopefully develop and strengthen in the coming year which can only assist our target population in accessing alcohol treatment.</w:t>
      </w:r>
    </w:p>
    <w:p w:rsidR="00A44242" w:rsidRDefault="00A44242" w:rsidP="00A44242">
      <w:pPr>
        <w:rPr>
          <w:sz w:val="20"/>
          <w:szCs w:val="20"/>
        </w:rPr>
      </w:pPr>
      <w:r>
        <w:rPr>
          <w:sz w:val="20"/>
          <w:szCs w:val="20"/>
        </w:rPr>
        <w:t>We will again support Dublin Simon Community by offering training to their counselling intern and continue with our student placements.</w:t>
      </w:r>
    </w:p>
    <w:p w:rsidR="00A44242" w:rsidRDefault="00A44242" w:rsidP="00A44242">
      <w:pPr>
        <w:rPr>
          <w:sz w:val="20"/>
          <w:szCs w:val="20"/>
        </w:rPr>
      </w:pPr>
      <w:r>
        <w:rPr>
          <w:sz w:val="20"/>
          <w:szCs w:val="20"/>
        </w:rPr>
        <w:t>The staff team, with the support of the very able management board, will continue to both develop themselves and develop the center’s programmes to continue to meet the needs of the clients.</w:t>
      </w:r>
    </w:p>
    <w:p w:rsidR="00A44242" w:rsidRPr="00B10BBD" w:rsidRDefault="00A44242" w:rsidP="00DF70B9">
      <w:pPr>
        <w:pStyle w:val="Heading1"/>
        <w:rPr>
          <w:color w:val="00B050"/>
        </w:rPr>
      </w:pPr>
      <w:r w:rsidRPr="00B10BBD">
        <w:rPr>
          <w:color w:val="00B050"/>
        </w:rPr>
        <w:t xml:space="preserve"> </w:t>
      </w:r>
      <w:r w:rsidR="00DF70B9" w:rsidRPr="00B10BBD">
        <w:rPr>
          <w:color w:val="00B050"/>
        </w:rPr>
        <w:t>And Finally:</w:t>
      </w:r>
    </w:p>
    <w:p w:rsidR="00DF70B9" w:rsidRPr="00DF70B9" w:rsidRDefault="00DF70B9" w:rsidP="00DF70B9">
      <w:pPr>
        <w:rPr>
          <w:sz w:val="20"/>
          <w:szCs w:val="20"/>
        </w:rPr>
      </w:pPr>
    </w:p>
    <w:p w:rsidR="00DF70B9" w:rsidRPr="006F06AC" w:rsidRDefault="00DF70B9" w:rsidP="00DF70B9">
      <w:pPr>
        <w:rPr>
          <w:sz w:val="20"/>
          <w:szCs w:val="20"/>
        </w:rPr>
      </w:pPr>
      <w:r w:rsidRPr="00DF70B9">
        <w:rPr>
          <w:sz w:val="20"/>
          <w:szCs w:val="20"/>
        </w:rPr>
        <w:t>The client</w:t>
      </w:r>
      <w:r w:rsidR="006F06AC">
        <w:rPr>
          <w:sz w:val="20"/>
          <w:szCs w:val="20"/>
        </w:rPr>
        <w:t xml:space="preserve">s and staff would like to thank </w:t>
      </w:r>
      <w:r>
        <w:rPr>
          <w:sz w:val="20"/>
          <w:szCs w:val="20"/>
        </w:rPr>
        <w:t>Mary Taylor, Area Manager, and Bernie Roe from Dublin City Council for their very practical help in the past year,</w:t>
      </w:r>
      <w:r w:rsidR="00493475">
        <w:rPr>
          <w:sz w:val="20"/>
          <w:szCs w:val="20"/>
        </w:rPr>
        <w:t xml:space="preserve"> and their vision in supporting the project.</w:t>
      </w:r>
      <w:r w:rsidR="006F06AC">
        <w:rPr>
          <w:sz w:val="20"/>
          <w:szCs w:val="20"/>
        </w:rPr>
        <w:t xml:space="preserve"> The</w:t>
      </w:r>
      <w:r w:rsidR="008A68AB">
        <w:rPr>
          <w:sz w:val="20"/>
          <w:szCs w:val="20"/>
        </w:rPr>
        <w:t xml:space="preserve"> Board of Directors for Á</w:t>
      </w:r>
      <w:r>
        <w:rPr>
          <w:sz w:val="20"/>
          <w:szCs w:val="20"/>
        </w:rPr>
        <w:t>it Linn for their wisdom and direction in relation to all of the project’s activities.</w:t>
      </w:r>
      <w:r w:rsidR="006F06AC">
        <w:rPr>
          <w:sz w:val="20"/>
          <w:szCs w:val="20"/>
        </w:rPr>
        <w:t xml:space="preserve">  And finally </w:t>
      </w:r>
      <w:r>
        <w:rPr>
          <w:sz w:val="20"/>
          <w:szCs w:val="20"/>
        </w:rPr>
        <w:t>Billy Gibson for being our voluntary handyman and Maureen O’Sullivan, T.D. for her interest in the voices of the problem drinkers, whom no longer will be silenced.</w:t>
      </w:r>
    </w:p>
    <w:p w:rsidR="00A44242" w:rsidRPr="00A44242" w:rsidRDefault="00A44242" w:rsidP="00A44242">
      <w:pPr>
        <w:rPr>
          <w:sz w:val="20"/>
          <w:szCs w:val="20"/>
        </w:rPr>
      </w:pPr>
    </w:p>
    <w:p w:rsidR="00A44242" w:rsidRPr="00A44242" w:rsidRDefault="00A44242" w:rsidP="00A44242"/>
    <w:p w:rsidR="009F2D09" w:rsidRPr="009F2D09" w:rsidRDefault="00C86804" w:rsidP="00C86804">
      <w:pPr>
        <w:pStyle w:val="Heading1"/>
        <w:jc w:val="center"/>
      </w:pPr>
      <w:r>
        <w:rPr>
          <w:noProof/>
          <w:lang w:val="en-IE" w:eastAsia="en-IE"/>
        </w:rPr>
        <w:drawing>
          <wp:inline distT="0" distB="0" distL="0" distR="0" wp14:anchorId="191EDD4D" wp14:editId="501CA505">
            <wp:extent cx="2169994" cy="2411901"/>
            <wp:effectExtent l="0" t="0" r="190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n_plant.jpg"/>
                    <pic:cNvPicPr/>
                  </pic:nvPicPr>
                  <pic:blipFill>
                    <a:blip r:embed="rId15">
                      <a:extLst>
                        <a:ext uri="{28A0092B-C50C-407E-A947-70E740481C1C}">
                          <a14:useLocalDpi xmlns:a14="http://schemas.microsoft.com/office/drawing/2010/main" val="0"/>
                        </a:ext>
                      </a:extLst>
                    </a:blip>
                    <a:stretch>
                      <a:fillRect/>
                    </a:stretch>
                  </pic:blipFill>
                  <pic:spPr>
                    <a:xfrm>
                      <a:off x="0" y="0"/>
                      <a:ext cx="2172410" cy="2414587"/>
                    </a:xfrm>
                    <a:prstGeom prst="rect">
                      <a:avLst/>
                    </a:prstGeom>
                  </pic:spPr>
                </pic:pic>
              </a:graphicData>
            </a:graphic>
          </wp:inline>
        </w:drawing>
      </w:r>
    </w:p>
    <w:p w:rsidR="00C777BE" w:rsidRPr="00C777BE" w:rsidRDefault="00C777BE" w:rsidP="00C777BE"/>
    <w:p w:rsidR="00C777BE" w:rsidRPr="00C777BE" w:rsidRDefault="00C777BE" w:rsidP="00C777BE"/>
    <w:p w:rsidR="00C777BE" w:rsidRPr="00C777BE" w:rsidRDefault="00C777BE" w:rsidP="00C777BE"/>
    <w:p w:rsidR="008B32F3" w:rsidRPr="007733F7" w:rsidRDefault="007733F7" w:rsidP="008B32F3">
      <w:pPr>
        <w:rPr>
          <w:sz w:val="20"/>
          <w:szCs w:val="20"/>
        </w:rPr>
      </w:pPr>
      <w:r>
        <w:rPr>
          <w:sz w:val="20"/>
          <w:szCs w:val="20"/>
        </w:rPr>
        <w:t xml:space="preserve"> </w:t>
      </w:r>
    </w:p>
    <w:p w:rsidR="00BC5877" w:rsidRDefault="00BC5877" w:rsidP="00BC5877"/>
    <w:p w:rsidR="00BC5877" w:rsidRPr="00BC5877" w:rsidRDefault="00BC5877" w:rsidP="00BC5877"/>
    <w:p w:rsidR="00BC5877" w:rsidRDefault="00BC5877" w:rsidP="00BC5877"/>
    <w:p w:rsidR="00BC5877" w:rsidRDefault="00BC5877" w:rsidP="00BC5877"/>
    <w:p w:rsidR="00CC3166" w:rsidRDefault="00CC3166" w:rsidP="00BC5877"/>
    <w:p w:rsidR="00A64FBA" w:rsidRDefault="00A64FBA" w:rsidP="00BC5877"/>
    <w:p w:rsidR="00A64FBA" w:rsidRDefault="00A64FBA" w:rsidP="00BC5877">
      <w:bookmarkStart w:id="0" w:name="_GoBack"/>
      <w:bookmarkEnd w:id="0"/>
    </w:p>
    <w:p w:rsidR="00CC3166" w:rsidRDefault="00CC3166" w:rsidP="00BC5877"/>
    <w:p w:rsidR="00CC3166" w:rsidRDefault="00CC3166" w:rsidP="00BC5877"/>
    <w:p w:rsidR="00CC3166" w:rsidRDefault="00CC3166" w:rsidP="00BC5877"/>
    <w:p w:rsidR="00CC3166" w:rsidRDefault="00CC3166" w:rsidP="00BC5877"/>
    <w:p w:rsidR="003E120B" w:rsidRDefault="003E120B" w:rsidP="00BC5877"/>
    <w:p w:rsidR="00CC3166" w:rsidRDefault="00CC3166" w:rsidP="00BC5877"/>
    <w:p w:rsidR="00CC3166" w:rsidRPr="008F5C00" w:rsidRDefault="00CC3166" w:rsidP="00BC5877">
      <w:pPr>
        <w:rPr>
          <w:b/>
        </w:rPr>
      </w:pPr>
      <w:r w:rsidRPr="008F5C00">
        <w:rPr>
          <w:b/>
        </w:rPr>
        <w:t>Appendix One</w:t>
      </w:r>
    </w:p>
    <w:p w:rsidR="00CC3166" w:rsidRPr="00F208C1" w:rsidRDefault="00CC3166" w:rsidP="00F208C1">
      <w:r w:rsidRPr="00F208C1">
        <w:t>An annual income and expenditure total report for each service commissioned for 2014/2013</w:t>
      </w:r>
    </w:p>
    <w:p w:rsidR="00F208C1" w:rsidRPr="000B20F8" w:rsidRDefault="00816A8C" w:rsidP="00F208C1">
      <w:pPr>
        <w:pStyle w:val="MFNumLev3"/>
        <w:jc w:val="center"/>
        <w:rPr>
          <w:sz w:val="36"/>
          <w:szCs w:val="36"/>
          <w:lang w:val="en-GB"/>
        </w:rPr>
      </w:pPr>
      <w:r>
        <w:rPr>
          <w:sz w:val="36"/>
          <w:szCs w:val="36"/>
          <w:lang w:val="en-GB"/>
        </w:rPr>
        <w:t>Á</w:t>
      </w:r>
      <w:r w:rsidR="00F208C1" w:rsidRPr="000B20F8">
        <w:rPr>
          <w:sz w:val="36"/>
          <w:szCs w:val="36"/>
          <w:lang w:val="en-GB"/>
        </w:rPr>
        <w:t xml:space="preserve">it Linn </w:t>
      </w:r>
    </w:p>
    <w:p w:rsidR="00F208C1" w:rsidRPr="000B20F8" w:rsidRDefault="00F208C1" w:rsidP="00F208C1">
      <w:pPr>
        <w:pStyle w:val="MFNumLev3"/>
        <w:jc w:val="center"/>
        <w:rPr>
          <w:sz w:val="24"/>
          <w:szCs w:val="24"/>
          <w:lang w:val="en-GB"/>
        </w:rPr>
      </w:pPr>
      <w:r w:rsidRPr="000B20F8">
        <w:rPr>
          <w:sz w:val="24"/>
          <w:szCs w:val="24"/>
          <w:lang w:val="en-GB"/>
        </w:rPr>
        <w:t>Income Statement</w:t>
      </w:r>
    </w:p>
    <w:p w:rsidR="00F208C1" w:rsidRPr="000B20F8" w:rsidRDefault="00F208C1" w:rsidP="00F208C1">
      <w:pPr>
        <w:pStyle w:val="MFNumLev3"/>
        <w:jc w:val="center"/>
        <w:rPr>
          <w:sz w:val="24"/>
          <w:szCs w:val="24"/>
          <w:lang w:val="en-GB"/>
        </w:rPr>
      </w:pPr>
      <w:r w:rsidRPr="000B20F8">
        <w:rPr>
          <w:sz w:val="24"/>
          <w:szCs w:val="24"/>
          <w:lang w:val="en-GB"/>
        </w:rPr>
        <w:t>Year Ending December</w:t>
      </w:r>
    </w:p>
    <w:p w:rsidR="00F208C1" w:rsidRPr="000B20F8" w:rsidRDefault="00F208C1" w:rsidP="00F208C1">
      <w:pPr>
        <w:pStyle w:val="MFNumLev3"/>
        <w:jc w:val="center"/>
        <w:rPr>
          <w:b/>
          <w:sz w:val="24"/>
          <w:szCs w:val="24"/>
          <w:lang w:val="en-GB"/>
        </w:rPr>
      </w:pP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t xml:space="preserve">             </w:t>
      </w:r>
      <w:r w:rsidRPr="000B20F8">
        <w:rPr>
          <w:sz w:val="24"/>
          <w:szCs w:val="24"/>
          <w:lang w:val="en-GB"/>
        </w:rPr>
        <w:tab/>
        <w:t xml:space="preserve">   </w:t>
      </w:r>
      <w:r w:rsidRPr="000B20F8">
        <w:rPr>
          <w:b/>
          <w:sz w:val="24"/>
          <w:szCs w:val="24"/>
          <w:lang w:val="en-GB"/>
        </w:rPr>
        <w:t>2014</w:t>
      </w:r>
      <w:r w:rsidRPr="000B20F8">
        <w:rPr>
          <w:b/>
          <w:sz w:val="24"/>
          <w:szCs w:val="24"/>
          <w:lang w:val="en-GB"/>
        </w:rPr>
        <w:tab/>
      </w:r>
      <w:r w:rsidRPr="000B20F8">
        <w:rPr>
          <w:b/>
          <w:sz w:val="24"/>
          <w:szCs w:val="24"/>
          <w:lang w:val="en-GB"/>
        </w:rPr>
        <w:tab/>
        <w:t>2013</w:t>
      </w:r>
      <w:r w:rsidRPr="000B20F8">
        <w:rPr>
          <w:b/>
          <w:sz w:val="24"/>
          <w:szCs w:val="24"/>
          <w:lang w:val="en-GB"/>
        </w:rPr>
        <w:tab/>
      </w:r>
      <w:r w:rsidRPr="000B20F8">
        <w:rPr>
          <w:b/>
          <w:sz w:val="24"/>
          <w:szCs w:val="24"/>
          <w:lang w:val="en-GB"/>
        </w:rPr>
        <w:tab/>
      </w:r>
      <w:r w:rsidRPr="000B20F8">
        <w:rPr>
          <w:b/>
          <w:sz w:val="24"/>
          <w:szCs w:val="24"/>
          <w:lang w:val="en-GB"/>
        </w:rPr>
        <w:tab/>
        <w:t xml:space="preserve">       </w:t>
      </w:r>
      <w:r w:rsidRPr="000B20F8">
        <w:rPr>
          <w:b/>
          <w:sz w:val="24"/>
          <w:szCs w:val="24"/>
          <w:lang w:val="en-GB"/>
        </w:rPr>
        <w:tab/>
      </w:r>
    </w:p>
    <w:p w:rsidR="00F208C1" w:rsidRPr="000B20F8" w:rsidRDefault="00F208C1" w:rsidP="00F208C1">
      <w:pPr>
        <w:pStyle w:val="MFNumLev3"/>
        <w:rPr>
          <w:sz w:val="24"/>
          <w:szCs w:val="24"/>
          <w:lang w:val="en-GB"/>
        </w:rPr>
      </w:pPr>
      <w:r w:rsidRPr="000B20F8">
        <w:rPr>
          <w:sz w:val="24"/>
          <w:szCs w:val="24"/>
          <w:lang w:val="en-GB"/>
        </w:rPr>
        <w:t xml:space="preserve">                 </w:t>
      </w:r>
      <w:r w:rsidRPr="005B7F53">
        <w:rPr>
          <w:b/>
          <w:sz w:val="24"/>
          <w:szCs w:val="24"/>
          <w:lang w:val="en-GB"/>
        </w:rPr>
        <w:t xml:space="preserve">Income   </w:t>
      </w:r>
      <w:r w:rsidRPr="000B20F8">
        <w:rPr>
          <w:sz w:val="24"/>
          <w:szCs w:val="24"/>
          <w:lang w:val="en-GB"/>
        </w:rPr>
        <w:t xml:space="preserve">                                                                      €                  </w:t>
      </w:r>
      <w:r w:rsidRPr="000B20F8">
        <w:rPr>
          <w:sz w:val="24"/>
          <w:szCs w:val="24"/>
          <w:lang w:val="en-GB"/>
        </w:rPr>
        <w:tab/>
        <w:t xml:space="preserve">    €</w:t>
      </w:r>
    </w:p>
    <w:p w:rsidR="00F208C1" w:rsidRPr="000B20F8" w:rsidRDefault="00F208C1" w:rsidP="00F208C1">
      <w:pPr>
        <w:pStyle w:val="MFNumLev3"/>
        <w:ind w:left="720"/>
        <w:rPr>
          <w:sz w:val="24"/>
          <w:szCs w:val="24"/>
          <w:lang w:val="en-GB"/>
        </w:rPr>
      </w:pPr>
      <w:r w:rsidRPr="000B20F8">
        <w:rPr>
          <w:sz w:val="24"/>
          <w:szCs w:val="24"/>
          <w:lang w:val="en-GB"/>
        </w:rPr>
        <w:t xml:space="preserve">      Sustainability Fund</w:t>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Pr>
          <w:sz w:val="24"/>
          <w:szCs w:val="24"/>
          <w:lang w:val="en-GB"/>
        </w:rPr>
        <w:t>0</w:t>
      </w:r>
      <w:r>
        <w:rPr>
          <w:sz w:val="24"/>
          <w:szCs w:val="24"/>
          <w:lang w:val="en-GB"/>
        </w:rPr>
        <w:tab/>
      </w:r>
      <w:r>
        <w:rPr>
          <w:sz w:val="24"/>
          <w:szCs w:val="24"/>
          <w:lang w:val="en-GB"/>
        </w:rPr>
        <w:tab/>
        <w:t xml:space="preserve">          </w:t>
      </w:r>
      <w:r w:rsidRPr="000B20F8">
        <w:rPr>
          <w:sz w:val="24"/>
          <w:szCs w:val="24"/>
          <w:lang w:val="en-GB"/>
        </w:rPr>
        <w:t>60,882</w:t>
      </w:r>
    </w:p>
    <w:p w:rsidR="00F208C1" w:rsidRPr="000B20F8" w:rsidRDefault="00F208C1" w:rsidP="00F208C1">
      <w:pPr>
        <w:pStyle w:val="MFNumLev3"/>
        <w:ind w:left="720"/>
        <w:rPr>
          <w:sz w:val="24"/>
          <w:szCs w:val="24"/>
          <w:lang w:val="en-GB"/>
        </w:rPr>
      </w:pPr>
      <w:r w:rsidRPr="000B20F8">
        <w:rPr>
          <w:sz w:val="24"/>
          <w:szCs w:val="24"/>
          <w:lang w:val="en-GB"/>
        </w:rPr>
        <w:t xml:space="preserve">      Grant Income                                                         141,724</w:t>
      </w:r>
      <w:r>
        <w:rPr>
          <w:sz w:val="24"/>
          <w:szCs w:val="24"/>
          <w:lang w:val="en-GB"/>
        </w:rPr>
        <w:t xml:space="preserve">                  </w:t>
      </w:r>
      <w:r w:rsidRPr="000B20F8">
        <w:rPr>
          <w:sz w:val="24"/>
          <w:szCs w:val="24"/>
          <w:lang w:val="en-GB"/>
        </w:rPr>
        <w:t>150,000</w:t>
      </w:r>
    </w:p>
    <w:p w:rsidR="00F208C1" w:rsidRPr="000B20F8" w:rsidRDefault="00F208C1" w:rsidP="00F208C1">
      <w:pPr>
        <w:pStyle w:val="MFNumLev3"/>
        <w:ind w:left="720"/>
        <w:rPr>
          <w:sz w:val="24"/>
          <w:szCs w:val="24"/>
          <w:lang w:val="en-GB"/>
        </w:rPr>
      </w:pPr>
      <w:r w:rsidRPr="000B20F8">
        <w:rPr>
          <w:sz w:val="24"/>
          <w:szCs w:val="24"/>
          <w:lang w:val="en-GB"/>
        </w:rPr>
        <w:t xml:space="preserve">      Other income (charitable donations)</w:t>
      </w:r>
      <w:r w:rsidRPr="000B20F8">
        <w:rPr>
          <w:sz w:val="24"/>
          <w:szCs w:val="24"/>
          <w:lang w:val="en-GB"/>
        </w:rPr>
        <w:tab/>
      </w:r>
      <w:r w:rsidRPr="000B20F8">
        <w:rPr>
          <w:sz w:val="24"/>
          <w:szCs w:val="24"/>
          <w:lang w:val="en-GB"/>
        </w:rPr>
        <w:tab/>
      </w:r>
      <w:r w:rsidRPr="000B20F8">
        <w:rPr>
          <w:sz w:val="24"/>
          <w:szCs w:val="24"/>
          <w:lang w:val="en-GB"/>
        </w:rPr>
        <w:tab/>
        <w:t>3,930</w:t>
      </w:r>
      <w:r w:rsidRPr="000B20F8">
        <w:rPr>
          <w:sz w:val="24"/>
          <w:szCs w:val="24"/>
          <w:lang w:val="en-GB"/>
        </w:rPr>
        <w:tab/>
      </w:r>
      <w:r w:rsidRPr="000B20F8">
        <w:rPr>
          <w:sz w:val="24"/>
          <w:szCs w:val="24"/>
          <w:lang w:val="en-GB"/>
        </w:rPr>
        <w:tab/>
      </w:r>
      <w:r w:rsidRPr="000B20F8">
        <w:rPr>
          <w:sz w:val="24"/>
          <w:szCs w:val="24"/>
          <w:lang w:val="en-GB"/>
        </w:rPr>
        <w:tab/>
        <w:t>3,600</w:t>
      </w:r>
      <w:r w:rsidRPr="000B20F8">
        <w:rPr>
          <w:sz w:val="24"/>
          <w:szCs w:val="24"/>
          <w:lang w:val="en-GB"/>
        </w:rPr>
        <w:tab/>
      </w:r>
      <w:r w:rsidRPr="000B20F8">
        <w:rPr>
          <w:sz w:val="24"/>
          <w:szCs w:val="24"/>
          <w:lang w:val="en-GB"/>
        </w:rPr>
        <w:tab/>
        <w:t xml:space="preserve"> </w:t>
      </w:r>
    </w:p>
    <w:p w:rsidR="00F208C1" w:rsidRPr="005B7F53" w:rsidRDefault="00F208C1" w:rsidP="00F208C1">
      <w:pPr>
        <w:pStyle w:val="MFNumLev3"/>
        <w:rPr>
          <w:b/>
          <w:sz w:val="24"/>
          <w:szCs w:val="24"/>
          <w:lang w:val="en-GB"/>
        </w:rPr>
      </w:pPr>
      <w:r w:rsidRPr="000B20F8">
        <w:rPr>
          <w:sz w:val="24"/>
          <w:szCs w:val="24"/>
          <w:lang w:val="en-GB"/>
        </w:rPr>
        <w:t xml:space="preserve">                 </w:t>
      </w:r>
      <w:r w:rsidRPr="005B7F53">
        <w:rPr>
          <w:b/>
          <w:sz w:val="24"/>
          <w:szCs w:val="24"/>
          <w:lang w:val="en-GB"/>
        </w:rPr>
        <w:t>Expenditure</w:t>
      </w:r>
    </w:p>
    <w:p w:rsidR="00F208C1" w:rsidRPr="000B20F8" w:rsidRDefault="00F208C1" w:rsidP="00F208C1">
      <w:pPr>
        <w:pStyle w:val="MFNumLev3"/>
        <w:rPr>
          <w:sz w:val="24"/>
          <w:szCs w:val="24"/>
          <w:lang w:val="en-GB"/>
        </w:rPr>
      </w:pPr>
      <w:r w:rsidRPr="000B20F8">
        <w:rPr>
          <w:sz w:val="24"/>
          <w:szCs w:val="24"/>
          <w:lang w:val="en-GB"/>
        </w:rPr>
        <w:t xml:space="preserve">                 Wages                                                                    </w:t>
      </w:r>
      <w:r>
        <w:rPr>
          <w:sz w:val="24"/>
          <w:szCs w:val="24"/>
          <w:lang w:val="en-GB"/>
        </w:rPr>
        <w:t>113,734</w:t>
      </w:r>
      <w:r w:rsidRPr="000B20F8">
        <w:rPr>
          <w:sz w:val="24"/>
          <w:szCs w:val="24"/>
          <w:lang w:val="en-GB"/>
        </w:rPr>
        <w:t xml:space="preserve">                 104,431</w:t>
      </w:r>
    </w:p>
    <w:p w:rsidR="00F208C1" w:rsidRPr="000B20F8" w:rsidRDefault="00F208C1" w:rsidP="00F208C1">
      <w:pPr>
        <w:pStyle w:val="MFNumLev3"/>
        <w:rPr>
          <w:sz w:val="24"/>
          <w:szCs w:val="24"/>
          <w:lang w:val="en-GB"/>
        </w:rPr>
      </w:pPr>
      <w:r w:rsidRPr="000B20F8">
        <w:rPr>
          <w:sz w:val="24"/>
          <w:szCs w:val="24"/>
          <w:lang w:val="en-GB"/>
        </w:rPr>
        <w:t xml:space="preserve">                 IT (2012 expense noted on accounts) </w:t>
      </w:r>
      <w:r w:rsidRPr="000B20F8">
        <w:rPr>
          <w:sz w:val="24"/>
          <w:szCs w:val="24"/>
          <w:lang w:val="en-GB"/>
        </w:rPr>
        <w:tab/>
      </w:r>
      <w:r w:rsidRPr="000B20F8">
        <w:rPr>
          <w:sz w:val="24"/>
          <w:szCs w:val="24"/>
          <w:lang w:val="en-GB"/>
        </w:rPr>
        <w:tab/>
        <w:t>0</w:t>
      </w:r>
      <w:r w:rsidRPr="000B20F8">
        <w:rPr>
          <w:sz w:val="24"/>
          <w:szCs w:val="24"/>
          <w:lang w:val="en-GB"/>
        </w:rPr>
        <w:tab/>
      </w:r>
      <w:r w:rsidRPr="000B20F8">
        <w:rPr>
          <w:sz w:val="24"/>
          <w:szCs w:val="24"/>
          <w:lang w:val="en-GB"/>
        </w:rPr>
        <w:tab/>
      </w:r>
      <w:r w:rsidRPr="000B20F8">
        <w:rPr>
          <w:sz w:val="24"/>
          <w:szCs w:val="24"/>
          <w:lang w:val="en-GB"/>
        </w:rPr>
        <w:tab/>
        <w:t>7,500</w:t>
      </w:r>
    </w:p>
    <w:p w:rsidR="00F208C1" w:rsidRPr="000B20F8" w:rsidRDefault="00F208C1" w:rsidP="00F208C1">
      <w:pPr>
        <w:pStyle w:val="MFNumLev3"/>
        <w:rPr>
          <w:sz w:val="24"/>
          <w:szCs w:val="24"/>
          <w:lang w:val="en-GB"/>
        </w:rPr>
      </w:pPr>
      <w:r w:rsidRPr="000B20F8">
        <w:rPr>
          <w:sz w:val="24"/>
          <w:szCs w:val="24"/>
          <w:lang w:val="en-GB"/>
        </w:rPr>
        <w:t xml:space="preserve">                 Rent                                                                        </w:t>
      </w:r>
      <w:r>
        <w:rPr>
          <w:sz w:val="24"/>
          <w:szCs w:val="24"/>
          <w:lang w:val="en-GB"/>
        </w:rPr>
        <w:t>3,445</w:t>
      </w:r>
      <w:r w:rsidRPr="000B20F8">
        <w:rPr>
          <w:sz w:val="24"/>
          <w:szCs w:val="24"/>
          <w:lang w:val="en-GB"/>
        </w:rPr>
        <w:t xml:space="preserve">                     </w:t>
      </w:r>
      <w:r w:rsidRPr="000B20F8">
        <w:rPr>
          <w:sz w:val="24"/>
          <w:szCs w:val="24"/>
          <w:lang w:val="en-GB"/>
        </w:rPr>
        <w:tab/>
        <w:t>2,994</w:t>
      </w:r>
    </w:p>
    <w:p w:rsidR="00F208C1" w:rsidRPr="000B20F8" w:rsidRDefault="00F208C1" w:rsidP="00F208C1">
      <w:pPr>
        <w:pStyle w:val="MFNumLev3"/>
        <w:rPr>
          <w:sz w:val="24"/>
          <w:szCs w:val="24"/>
          <w:lang w:val="en-GB"/>
        </w:rPr>
      </w:pPr>
      <w:r w:rsidRPr="000B20F8">
        <w:rPr>
          <w:sz w:val="24"/>
          <w:szCs w:val="24"/>
          <w:lang w:val="en-GB"/>
        </w:rPr>
        <w:tab/>
        <w:t xml:space="preserve">      Printing and promotional materials</w:t>
      </w:r>
      <w:r w:rsidRPr="000B20F8">
        <w:rPr>
          <w:sz w:val="24"/>
          <w:szCs w:val="24"/>
          <w:lang w:val="en-GB"/>
        </w:rPr>
        <w:tab/>
      </w:r>
      <w:r w:rsidRPr="000B20F8">
        <w:rPr>
          <w:sz w:val="24"/>
          <w:szCs w:val="24"/>
          <w:lang w:val="en-GB"/>
        </w:rPr>
        <w:tab/>
      </w:r>
      <w:r w:rsidRPr="000B20F8">
        <w:rPr>
          <w:sz w:val="24"/>
          <w:szCs w:val="24"/>
          <w:lang w:val="en-GB"/>
        </w:rPr>
        <w:tab/>
      </w:r>
      <w:r>
        <w:rPr>
          <w:sz w:val="24"/>
          <w:szCs w:val="24"/>
          <w:lang w:val="en-GB"/>
        </w:rPr>
        <w:t xml:space="preserve"> 2,</w:t>
      </w:r>
      <w:r w:rsidRPr="000B20F8">
        <w:rPr>
          <w:sz w:val="24"/>
          <w:szCs w:val="24"/>
          <w:lang w:val="en-GB"/>
        </w:rPr>
        <w:t>470</w:t>
      </w:r>
      <w:r w:rsidRPr="000B20F8">
        <w:rPr>
          <w:sz w:val="24"/>
          <w:szCs w:val="24"/>
          <w:lang w:val="en-GB"/>
        </w:rPr>
        <w:tab/>
      </w:r>
      <w:r w:rsidRPr="000B20F8">
        <w:rPr>
          <w:sz w:val="24"/>
          <w:szCs w:val="24"/>
          <w:lang w:val="en-GB"/>
        </w:rPr>
        <w:tab/>
      </w:r>
      <w:r w:rsidRPr="000B20F8">
        <w:rPr>
          <w:sz w:val="24"/>
          <w:szCs w:val="24"/>
          <w:lang w:val="en-GB"/>
        </w:rPr>
        <w:tab/>
        <w:t>1,091</w:t>
      </w:r>
    </w:p>
    <w:p w:rsidR="00F208C1" w:rsidRPr="000B20F8" w:rsidRDefault="00F208C1" w:rsidP="00F208C1">
      <w:pPr>
        <w:pStyle w:val="MFNumLev3"/>
        <w:rPr>
          <w:sz w:val="24"/>
          <w:szCs w:val="24"/>
          <w:lang w:val="en-GB"/>
        </w:rPr>
      </w:pPr>
      <w:r w:rsidRPr="000B20F8">
        <w:rPr>
          <w:sz w:val="24"/>
          <w:szCs w:val="24"/>
          <w:lang w:val="en-GB"/>
        </w:rPr>
        <w:t xml:space="preserve">                 Audit Fees</w:t>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t>1,517</w:t>
      </w:r>
      <w:r w:rsidRPr="000B20F8">
        <w:rPr>
          <w:sz w:val="24"/>
          <w:szCs w:val="24"/>
          <w:lang w:val="en-GB"/>
        </w:rPr>
        <w:tab/>
      </w:r>
      <w:r w:rsidRPr="000B20F8">
        <w:rPr>
          <w:sz w:val="24"/>
          <w:szCs w:val="24"/>
          <w:lang w:val="en-GB"/>
        </w:rPr>
        <w:tab/>
      </w:r>
      <w:r w:rsidRPr="000B20F8">
        <w:rPr>
          <w:sz w:val="24"/>
          <w:szCs w:val="24"/>
          <w:lang w:val="en-GB"/>
        </w:rPr>
        <w:tab/>
        <w:t>1,844</w:t>
      </w:r>
    </w:p>
    <w:p w:rsidR="00F208C1" w:rsidRPr="000B20F8" w:rsidRDefault="00F208C1" w:rsidP="00F208C1">
      <w:pPr>
        <w:pStyle w:val="MFNumLev3"/>
        <w:rPr>
          <w:sz w:val="24"/>
          <w:szCs w:val="24"/>
          <w:lang w:val="en-GB"/>
        </w:rPr>
      </w:pPr>
      <w:r w:rsidRPr="000B20F8">
        <w:rPr>
          <w:sz w:val="24"/>
          <w:szCs w:val="24"/>
          <w:lang w:val="en-GB"/>
        </w:rPr>
        <w:t xml:space="preserve">                 Insurance</w:t>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t>3,497</w:t>
      </w:r>
      <w:r w:rsidRPr="000B20F8">
        <w:rPr>
          <w:sz w:val="24"/>
          <w:szCs w:val="24"/>
          <w:lang w:val="en-GB"/>
        </w:rPr>
        <w:tab/>
        <w:t xml:space="preserve">           </w:t>
      </w:r>
      <w:r w:rsidRPr="000B20F8">
        <w:rPr>
          <w:sz w:val="24"/>
          <w:szCs w:val="24"/>
          <w:lang w:val="en-GB"/>
        </w:rPr>
        <w:tab/>
        <w:t>2,327</w:t>
      </w:r>
    </w:p>
    <w:p w:rsidR="00F208C1" w:rsidRPr="000B20F8" w:rsidRDefault="00F208C1" w:rsidP="00F208C1">
      <w:pPr>
        <w:pStyle w:val="MFNumLev3"/>
        <w:rPr>
          <w:sz w:val="24"/>
          <w:szCs w:val="24"/>
          <w:lang w:val="en-GB"/>
        </w:rPr>
      </w:pPr>
      <w:r w:rsidRPr="000B20F8">
        <w:rPr>
          <w:sz w:val="24"/>
          <w:szCs w:val="24"/>
          <w:lang w:val="en-GB"/>
        </w:rPr>
        <w:t xml:space="preserve">                 Fixed Assets                                                           1,752                       </w:t>
      </w:r>
      <w:r w:rsidRPr="000B20F8">
        <w:rPr>
          <w:sz w:val="24"/>
          <w:szCs w:val="24"/>
          <w:lang w:val="en-GB"/>
        </w:rPr>
        <w:tab/>
        <w:t>3,529</w:t>
      </w:r>
    </w:p>
    <w:p w:rsidR="00F208C1" w:rsidRPr="000B20F8" w:rsidRDefault="00F208C1" w:rsidP="00F208C1">
      <w:pPr>
        <w:pStyle w:val="MFNumLev3"/>
        <w:rPr>
          <w:sz w:val="24"/>
          <w:szCs w:val="24"/>
          <w:lang w:val="en-GB"/>
        </w:rPr>
      </w:pPr>
      <w:r w:rsidRPr="000B20F8">
        <w:rPr>
          <w:sz w:val="24"/>
          <w:szCs w:val="24"/>
          <w:lang w:val="en-GB"/>
        </w:rPr>
        <w:t xml:space="preserve">                 Utilities                                  </w:t>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Pr>
          <w:sz w:val="24"/>
          <w:szCs w:val="24"/>
          <w:lang w:val="en-GB"/>
        </w:rPr>
        <w:t>3,001</w:t>
      </w:r>
      <w:r w:rsidRPr="000B20F8">
        <w:rPr>
          <w:sz w:val="24"/>
          <w:szCs w:val="24"/>
          <w:lang w:val="en-GB"/>
        </w:rPr>
        <w:tab/>
      </w:r>
      <w:r w:rsidRPr="000B20F8">
        <w:rPr>
          <w:sz w:val="24"/>
          <w:szCs w:val="24"/>
          <w:lang w:val="en-GB"/>
        </w:rPr>
        <w:tab/>
      </w:r>
      <w:r w:rsidRPr="000B20F8">
        <w:rPr>
          <w:sz w:val="24"/>
          <w:szCs w:val="24"/>
          <w:lang w:val="en-GB"/>
        </w:rPr>
        <w:tab/>
        <w:t>2,509</w:t>
      </w:r>
    </w:p>
    <w:p w:rsidR="00F208C1" w:rsidRPr="000B20F8" w:rsidRDefault="00F208C1" w:rsidP="00F208C1">
      <w:pPr>
        <w:pStyle w:val="MFNumLev3"/>
        <w:rPr>
          <w:sz w:val="24"/>
          <w:szCs w:val="24"/>
          <w:lang w:val="en-GB"/>
        </w:rPr>
      </w:pPr>
      <w:r w:rsidRPr="000B20F8">
        <w:rPr>
          <w:sz w:val="24"/>
          <w:szCs w:val="24"/>
          <w:lang w:val="en-GB"/>
        </w:rPr>
        <w:t xml:space="preserve">                 Sundry                                                                     </w:t>
      </w:r>
      <w:r>
        <w:rPr>
          <w:sz w:val="24"/>
          <w:szCs w:val="24"/>
          <w:lang w:val="en-GB"/>
        </w:rPr>
        <w:t>4,160</w:t>
      </w:r>
      <w:r w:rsidRPr="000B20F8">
        <w:rPr>
          <w:sz w:val="24"/>
          <w:szCs w:val="24"/>
          <w:lang w:val="en-GB"/>
        </w:rPr>
        <w:t xml:space="preserve">                      </w:t>
      </w:r>
      <w:r w:rsidRPr="000B20F8">
        <w:rPr>
          <w:sz w:val="24"/>
          <w:szCs w:val="24"/>
          <w:lang w:val="en-GB"/>
        </w:rPr>
        <w:tab/>
        <w:t>1,533</w:t>
      </w:r>
    </w:p>
    <w:p w:rsidR="00F208C1" w:rsidRPr="000B20F8" w:rsidRDefault="00F208C1" w:rsidP="00F208C1">
      <w:pPr>
        <w:pStyle w:val="MFNumLev3"/>
        <w:ind w:left="1440" w:hanging="1440"/>
        <w:rPr>
          <w:sz w:val="24"/>
          <w:szCs w:val="24"/>
          <w:lang w:val="en-GB"/>
        </w:rPr>
      </w:pPr>
      <w:r w:rsidRPr="000B20F8">
        <w:rPr>
          <w:sz w:val="24"/>
          <w:szCs w:val="24"/>
          <w:lang w:val="en-GB"/>
        </w:rPr>
        <w:t xml:space="preserve">                 Movement of funds to sustainability fund</w:t>
      </w:r>
      <w:r w:rsidRPr="000B20F8">
        <w:rPr>
          <w:sz w:val="24"/>
          <w:szCs w:val="24"/>
          <w:lang w:val="en-GB"/>
        </w:rPr>
        <w:tab/>
      </w:r>
      <w:r w:rsidRPr="000B20F8">
        <w:rPr>
          <w:sz w:val="24"/>
          <w:szCs w:val="24"/>
          <w:lang w:val="en-GB"/>
        </w:rPr>
        <w:tab/>
        <w:t>0</w:t>
      </w:r>
      <w:r w:rsidRPr="000B20F8">
        <w:rPr>
          <w:sz w:val="24"/>
          <w:szCs w:val="24"/>
          <w:lang w:val="en-GB"/>
        </w:rPr>
        <w:tab/>
        <w:t xml:space="preserve">         </w:t>
      </w:r>
      <w:r w:rsidRPr="000B20F8">
        <w:rPr>
          <w:sz w:val="24"/>
          <w:szCs w:val="24"/>
          <w:lang w:val="en-GB"/>
        </w:rPr>
        <w:tab/>
      </w:r>
      <w:r>
        <w:rPr>
          <w:sz w:val="24"/>
          <w:szCs w:val="24"/>
          <w:lang w:val="en-GB"/>
        </w:rPr>
        <w:t xml:space="preserve">         </w:t>
      </w:r>
      <w:r w:rsidRPr="000B20F8">
        <w:rPr>
          <w:sz w:val="24"/>
          <w:szCs w:val="24"/>
          <w:lang w:val="en-GB"/>
        </w:rPr>
        <w:t xml:space="preserve">50,000        </w:t>
      </w:r>
    </w:p>
    <w:p w:rsidR="00F208C1" w:rsidRPr="000B20F8" w:rsidRDefault="00F208C1" w:rsidP="00F208C1">
      <w:pPr>
        <w:pStyle w:val="MFNumLev3"/>
        <w:ind w:left="1440" w:hanging="1440"/>
        <w:rPr>
          <w:b/>
          <w:sz w:val="24"/>
          <w:szCs w:val="24"/>
          <w:lang w:val="en-GB"/>
        </w:rPr>
      </w:pPr>
      <w:r w:rsidRPr="000B20F8">
        <w:rPr>
          <w:b/>
          <w:sz w:val="24"/>
          <w:szCs w:val="24"/>
          <w:lang w:val="en-GB"/>
        </w:rPr>
        <w:t xml:space="preserve">                 Total                                                                       </w:t>
      </w:r>
      <w:r>
        <w:rPr>
          <w:b/>
          <w:sz w:val="24"/>
          <w:szCs w:val="24"/>
          <w:lang w:val="en-GB"/>
        </w:rPr>
        <w:t xml:space="preserve">140,000                 </w:t>
      </w:r>
      <w:r w:rsidRPr="000B20F8">
        <w:rPr>
          <w:b/>
          <w:sz w:val="24"/>
          <w:szCs w:val="24"/>
          <w:lang w:val="en-GB"/>
        </w:rPr>
        <w:t>177,758</w:t>
      </w:r>
    </w:p>
    <w:p w:rsidR="00F208C1" w:rsidRPr="000B20F8" w:rsidRDefault="00F208C1" w:rsidP="00F208C1">
      <w:pPr>
        <w:pStyle w:val="MFNumLev3"/>
        <w:rPr>
          <w:sz w:val="24"/>
          <w:szCs w:val="24"/>
          <w:lang w:val="en-GB"/>
        </w:rPr>
      </w:pPr>
      <w:r w:rsidRPr="000B20F8">
        <w:rPr>
          <w:sz w:val="24"/>
          <w:szCs w:val="24"/>
          <w:lang w:val="en-GB"/>
        </w:rPr>
        <w:t xml:space="preserve">                 Balance as at December 2014/2013                    </w:t>
      </w:r>
      <w:r>
        <w:rPr>
          <w:sz w:val="24"/>
          <w:szCs w:val="24"/>
          <w:lang w:val="en-GB"/>
        </w:rPr>
        <w:t xml:space="preserve">  5,624</w:t>
      </w:r>
      <w:r w:rsidRPr="000B20F8">
        <w:rPr>
          <w:sz w:val="24"/>
          <w:szCs w:val="24"/>
          <w:lang w:val="en-GB"/>
        </w:rPr>
        <w:t xml:space="preserve">                      37,724   </w:t>
      </w:r>
    </w:p>
    <w:p w:rsidR="00F208C1" w:rsidRPr="000B20F8" w:rsidRDefault="00F208C1" w:rsidP="00F208C1">
      <w:pPr>
        <w:pStyle w:val="MFNumLev3"/>
        <w:rPr>
          <w:sz w:val="24"/>
          <w:szCs w:val="24"/>
          <w:lang w:val="en-GB"/>
        </w:rPr>
      </w:pPr>
      <w:r w:rsidRPr="000B20F8">
        <w:rPr>
          <w:sz w:val="24"/>
          <w:szCs w:val="24"/>
          <w:lang w:val="en-GB"/>
        </w:rPr>
        <w:tab/>
        <w:t xml:space="preserve">      </w:t>
      </w:r>
    </w:p>
    <w:p w:rsidR="00F208C1" w:rsidRPr="000B20F8" w:rsidRDefault="00F208C1" w:rsidP="00F208C1">
      <w:pPr>
        <w:pStyle w:val="MFNumLev3"/>
        <w:rPr>
          <w:sz w:val="24"/>
          <w:szCs w:val="24"/>
          <w:lang w:val="en-GB"/>
        </w:rPr>
      </w:pPr>
      <w:r w:rsidRPr="000B20F8">
        <w:rPr>
          <w:sz w:val="24"/>
          <w:szCs w:val="24"/>
          <w:lang w:val="en-GB"/>
        </w:rPr>
        <w:t xml:space="preserve">                                                               </w:t>
      </w:r>
    </w:p>
    <w:p w:rsidR="00F208C1" w:rsidRPr="000B20F8" w:rsidRDefault="00F208C1" w:rsidP="00F208C1">
      <w:pPr>
        <w:pStyle w:val="MFNumLev3"/>
        <w:rPr>
          <w:sz w:val="24"/>
          <w:szCs w:val="24"/>
          <w:lang w:val="en-GB"/>
        </w:rPr>
      </w:pPr>
      <w:r w:rsidRPr="000B20F8">
        <w:rPr>
          <w:sz w:val="24"/>
          <w:szCs w:val="24"/>
          <w:lang w:val="en-GB"/>
        </w:rPr>
        <w:t xml:space="preserve">                              </w:t>
      </w:r>
      <w:r w:rsidRPr="000B20F8">
        <w:rPr>
          <w:sz w:val="22"/>
          <w:szCs w:val="22"/>
          <w:lang w:val="en-GB"/>
        </w:rPr>
        <w:t>Items to note owed in January relating to prior year</w:t>
      </w:r>
    </w:p>
    <w:p w:rsidR="00F208C1" w:rsidRPr="000B20F8" w:rsidRDefault="00F208C1" w:rsidP="00F208C1">
      <w:pPr>
        <w:pStyle w:val="MFNumLev3"/>
        <w:ind w:firstLine="720"/>
        <w:rPr>
          <w:sz w:val="22"/>
          <w:szCs w:val="22"/>
          <w:lang w:val="en-GB"/>
        </w:rPr>
      </w:pPr>
      <w:r w:rsidRPr="000B20F8">
        <w:rPr>
          <w:sz w:val="22"/>
          <w:szCs w:val="22"/>
          <w:lang w:val="en-GB"/>
        </w:rPr>
        <w:t xml:space="preserve">       Revenue (wages – unpaid PRSI for Q4 2013) </w:t>
      </w:r>
      <w:r w:rsidRPr="000B20F8">
        <w:rPr>
          <w:sz w:val="22"/>
          <w:szCs w:val="22"/>
          <w:lang w:val="en-GB"/>
        </w:rPr>
        <w:tab/>
      </w:r>
      <w:r w:rsidRPr="000B20F8">
        <w:rPr>
          <w:sz w:val="22"/>
          <w:szCs w:val="22"/>
          <w:lang w:val="en-GB"/>
        </w:rPr>
        <w:tab/>
      </w:r>
      <w:r w:rsidRPr="000B20F8">
        <w:rPr>
          <w:sz w:val="22"/>
          <w:szCs w:val="22"/>
          <w:lang w:val="en-GB"/>
        </w:rPr>
        <w:tab/>
        <w:t xml:space="preserve">              </w:t>
      </w:r>
      <w:r>
        <w:rPr>
          <w:sz w:val="22"/>
          <w:szCs w:val="22"/>
          <w:lang w:val="en-GB"/>
        </w:rPr>
        <w:tab/>
        <w:t xml:space="preserve"> </w:t>
      </w:r>
      <w:r w:rsidRPr="000B20F8">
        <w:rPr>
          <w:sz w:val="22"/>
          <w:szCs w:val="22"/>
          <w:lang w:val="en-GB"/>
        </w:rPr>
        <w:t xml:space="preserve">1,000                 </w:t>
      </w:r>
    </w:p>
    <w:p w:rsidR="00F208C1" w:rsidRPr="000B20F8" w:rsidRDefault="00F208C1" w:rsidP="00F208C1">
      <w:pPr>
        <w:pStyle w:val="MFNumLev3"/>
        <w:ind w:left="720"/>
        <w:rPr>
          <w:sz w:val="24"/>
          <w:szCs w:val="24"/>
          <w:lang w:val="en-GB"/>
        </w:rPr>
      </w:pPr>
      <w:r w:rsidRPr="000B20F8">
        <w:rPr>
          <w:sz w:val="24"/>
          <w:szCs w:val="24"/>
          <w:lang w:val="en-GB"/>
        </w:rPr>
        <w:t xml:space="preserve">Balance B/F                                                               </w:t>
      </w:r>
      <w:r>
        <w:rPr>
          <w:sz w:val="24"/>
          <w:szCs w:val="24"/>
          <w:lang w:val="en-GB"/>
        </w:rPr>
        <w:t xml:space="preserve"> 5,624</w:t>
      </w:r>
      <w:r w:rsidRPr="000B20F8">
        <w:rPr>
          <w:sz w:val="24"/>
          <w:szCs w:val="24"/>
          <w:lang w:val="en-GB"/>
        </w:rPr>
        <w:t xml:space="preserve">                     </w:t>
      </w:r>
      <w:r>
        <w:rPr>
          <w:sz w:val="24"/>
          <w:szCs w:val="24"/>
          <w:lang w:val="en-GB"/>
        </w:rPr>
        <w:t xml:space="preserve">    </w:t>
      </w:r>
      <w:r w:rsidRPr="000B20F8">
        <w:rPr>
          <w:sz w:val="24"/>
          <w:szCs w:val="24"/>
          <w:lang w:val="en-GB"/>
        </w:rPr>
        <w:t>36,724</w:t>
      </w:r>
    </w:p>
    <w:p w:rsidR="00F208C1" w:rsidRPr="000B20F8" w:rsidRDefault="00F208C1" w:rsidP="00F208C1">
      <w:pPr>
        <w:pStyle w:val="MFNumLev3"/>
        <w:ind w:left="720"/>
        <w:rPr>
          <w:sz w:val="24"/>
          <w:szCs w:val="24"/>
          <w:lang w:val="en-GB"/>
        </w:rPr>
      </w:pPr>
      <w:r w:rsidRPr="000B20F8">
        <w:rPr>
          <w:sz w:val="24"/>
          <w:szCs w:val="24"/>
          <w:lang w:val="en-GB"/>
        </w:rPr>
        <w:t>Balance on deposit in Ait Linn account</w:t>
      </w:r>
      <w:r w:rsidRPr="000B20F8">
        <w:rPr>
          <w:sz w:val="24"/>
          <w:szCs w:val="24"/>
          <w:lang w:val="en-GB"/>
        </w:rPr>
        <w:tab/>
        <w:t xml:space="preserve"> </w:t>
      </w:r>
      <w:r w:rsidRPr="000B20F8">
        <w:rPr>
          <w:sz w:val="24"/>
          <w:szCs w:val="24"/>
          <w:lang w:val="en-GB"/>
        </w:rPr>
        <w:tab/>
      </w:r>
      <w:r>
        <w:rPr>
          <w:sz w:val="24"/>
          <w:szCs w:val="24"/>
          <w:lang w:val="en-GB"/>
        </w:rPr>
        <w:tab/>
        <w:t>0</w:t>
      </w:r>
      <w:r>
        <w:rPr>
          <w:sz w:val="24"/>
          <w:szCs w:val="24"/>
          <w:lang w:val="en-GB"/>
        </w:rPr>
        <w:tab/>
      </w:r>
      <w:r>
        <w:rPr>
          <w:sz w:val="24"/>
          <w:szCs w:val="24"/>
          <w:lang w:val="en-GB"/>
        </w:rPr>
        <w:tab/>
        <w:t xml:space="preserve">          </w:t>
      </w:r>
      <w:r w:rsidRPr="000B20F8">
        <w:rPr>
          <w:sz w:val="24"/>
          <w:szCs w:val="24"/>
          <w:lang w:val="en-GB"/>
        </w:rPr>
        <w:t>50,000</w:t>
      </w:r>
    </w:p>
    <w:p w:rsidR="00F208C1" w:rsidRPr="000B20F8" w:rsidRDefault="00F208C1" w:rsidP="00F208C1">
      <w:pPr>
        <w:pStyle w:val="MFNumLev3"/>
        <w:ind w:left="720"/>
        <w:rPr>
          <w:sz w:val="24"/>
          <w:szCs w:val="24"/>
          <w:lang w:val="en-GB"/>
        </w:rPr>
      </w:pPr>
      <w:r w:rsidRPr="000B20F8">
        <w:rPr>
          <w:sz w:val="24"/>
          <w:szCs w:val="24"/>
          <w:lang w:val="en-GB"/>
        </w:rPr>
        <w:t>Total Balance B/F</w:t>
      </w:r>
      <w:r>
        <w:rPr>
          <w:sz w:val="24"/>
          <w:szCs w:val="24"/>
          <w:lang w:val="en-GB"/>
        </w:rPr>
        <w:t xml:space="preserve"> </w:t>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t xml:space="preserve">        5,624</w:t>
      </w:r>
      <w:r>
        <w:rPr>
          <w:sz w:val="24"/>
          <w:szCs w:val="24"/>
          <w:lang w:val="en-GB"/>
        </w:rPr>
        <w:tab/>
      </w:r>
      <w:r>
        <w:rPr>
          <w:sz w:val="24"/>
          <w:szCs w:val="24"/>
          <w:lang w:val="en-GB"/>
        </w:rPr>
        <w:tab/>
        <w:t xml:space="preserve">          </w:t>
      </w:r>
      <w:r w:rsidRPr="000B20F8">
        <w:rPr>
          <w:sz w:val="24"/>
          <w:szCs w:val="24"/>
          <w:lang w:val="en-GB"/>
        </w:rPr>
        <w:t>86,724</w:t>
      </w:r>
    </w:p>
    <w:p w:rsidR="00F208C1" w:rsidRPr="000B20F8" w:rsidRDefault="00F208C1" w:rsidP="00F208C1">
      <w:pPr>
        <w:pStyle w:val="MFNumLev3"/>
        <w:ind w:left="720"/>
        <w:rPr>
          <w:lang w:val="en-GB"/>
        </w:rPr>
      </w:pPr>
    </w:p>
    <w:p w:rsidR="00F208C1" w:rsidRPr="000B20F8" w:rsidRDefault="00F208C1" w:rsidP="00F208C1">
      <w:pPr>
        <w:pStyle w:val="MFNumLev3"/>
        <w:ind w:left="720"/>
        <w:rPr>
          <w:b/>
          <w:sz w:val="24"/>
          <w:szCs w:val="24"/>
          <w:u w:val="single"/>
          <w:lang w:val="en-GB"/>
        </w:rPr>
      </w:pPr>
      <w:r w:rsidRPr="000B20F8">
        <w:rPr>
          <w:b/>
          <w:sz w:val="24"/>
          <w:szCs w:val="24"/>
          <w:u w:val="single"/>
          <w:lang w:val="en-GB"/>
        </w:rPr>
        <w:t xml:space="preserve">Activity Level </w:t>
      </w:r>
    </w:p>
    <w:p w:rsidR="00F208C1" w:rsidRPr="000B20F8" w:rsidRDefault="00F208C1" w:rsidP="00F208C1">
      <w:pPr>
        <w:pStyle w:val="MFNumLev3"/>
        <w:ind w:left="720"/>
        <w:rPr>
          <w:sz w:val="24"/>
          <w:szCs w:val="24"/>
          <w:lang w:val="en-GB"/>
        </w:rPr>
      </w:pPr>
      <w:r w:rsidRPr="000B20F8">
        <w:rPr>
          <w:sz w:val="24"/>
          <w:szCs w:val="24"/>
          <w:lang w:val="en-GB"/>
        </w:rPr>
        <w:t>Th</w:t>
      </w:r>
      <w:r>
        <w:rPr>
          <w:sz w:val="24"/>
          <w:szCs w:val="24"/>
          <w:lang w:val="en-GB"/>
        </w:rPr>
        <w:t>erapeutic Hours</w:t>
      </w:r>
      <w:r>
        <w:rPr>
          <w:sz w:val="24"/>
          <w:szCs w:val="24"/>
          <w:lang w:val="en-GB"/>
        </w:rPr>
        <w:tab/>
      </w:r>
      <w:r>
        <w:rPr>
          <w:sz w:val="24"/>
          <w:szCs w:val="24"/>
          <w:lang w:val="en-GB"/>
        </w:rPr>
        <w:tab/>
      </w:r>
      <w:r>
        <w:rPr>
          <w:sz w:val="24"/>
          <w:szCs w:val="24"/>
          <w:lang w:val="en-GB"/>
        </w:rPr>
        <w:tab/>
      </w:r>
      <w:r>
        <w:rPr>
          <w:sz w:val="24"/>
          <w:szCs w:val="24"/>
          <w:lang w:val="en-GB"/>
        </w:rPr>
        <w:tab/>
      </w:r>
      <w:r>
        <w:rPr>
          <w:sz w:val="24"/>
          <w:szCs w:val="24"/>
          <w:lang w:val="en-GB"/>
        </w:rPr>
        <w:tab/>
        <w:t xml:space="preserve">       3,559</w:t>
      </w:r>
      <w:r w:rsidRPr="000B20F8">
        <w:rPr>
          <w:sz w:val="24"/>
          <w:szCs w:val="24"/>
          <w:lang w:val="en-GB"/>
        </w:rPr>
        <w:tab/>
      </w:r>
      <w:r w:rsidRPr="000B20F8">
        <w:rPr>
          <w:sz w:val="24"/>
          <w:szCs w:val="24"/>
          <w:lang w:val="en-GB"/>
        </w:rPr>
        <w:tab/>
      </w:r>
      <w:r w:rsidRPr="000B20F8">
        <w:rPr>
          <w:sz w:val="24"/>
          <w:szCs w:val="24"/>
          <w:lang w:val="en-GB"/>
        </w:rPr>
        <w:tab/>
        <w:t>2,043</w:t>
      </w:r>
    </w:p>
    <w:p w:rsidR="00F208C1" w:rsidRPr="000B20F8" w:rsidRDefault="00F208C1" w:rsidP="00F208C1">
      <w:pPr>
        <w:pStyle w:val="MFNumLev3"/>
        <w:ind w:left="720"/>
        <w:rPr>
          <w:sz w:val="24"/>
          <w:szCs w:val="24"/>
          <w:lang w:val="en-GB"/>
        </w:rPr>
      </w:pPr>
      <w:r w:rsidRPr="000B20F8">
        <w:rPr>
          <w:sz w:val="24"/>
          <w:szCs w:val="24"/>
          <w:lang w:val="en-GB"/>
        </w:rPr>
        <w:t xml:space="preserve">Number of Clients </w:t>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r>
      <w:r w:rsidRPr="000B20F8">
        <w:rPr>
          <w:sz w:val="24"/>
          <w:szCs w:val="24"/>
          <w:lang w:val="en-GB"/>
        </w:rPr>
        <w:tab/>
        <w:t xml:space="preserve">        </w:t>
      </w:r>
      <w:r>
        <w:rPr>
          <w:sz w:val="24"/>
          <w:szCs w:val="24"/>
          <w:lang w:val="en-GB"/>
        </w:rPr>
        <w:t>184</w:t>
      </w:r>
      <w:r w:rsidRPr="000B20F8">
        <w:rPr>
          <w:sz w:val="24"/>
          <w:szCs w:val="24"/>
          <w:lang w:val="en-GB"/>
        </w:rPr>
        <w:tab/>
      </w:r>
      <w:r w:rsidRPr="000B20F8">
        <w:rPr>
          <w:sz w:val="24"/>
          <w:szCs w:val="24"/>
          <w:lang w:val="en-GB"/>
        </w:rPr>
        <w:tab/>
      </w:r>
      <w:r w:rsidRPr="000B20F8">
        <w:rPr>
          <w:sz w:val="24"/>
          <w:szCs w:val="24"/>
          <w:lang w:val="en-GB"/>
        </w:rPr>
        <w:tab/>
        <w:t xml:space="preserve"> 129</w:t>
      </w:r>
    </w:p>
    <w:p w:rsidR="00F208C1" w:rsidRPr="000B20F8" w:rsidRDefault="00F208C1" w:rsidP="00F208C1">
      <w:pPr>
        <w:pStyle w:val="MFNumLev3"/>
        <w:ind w:left="720"/>
        <w:rPr>
          <w:lang w:val="en-GB"/>
        </w:rPr>
      </w:pPr>
      <w:r w:rsidRPr="000B20F8">
        <w:rPr>
          <w:lang w:val="en-GB"/>
        </w:rPr>
        <w:t>Of which Brief Interventions</w:t>
      </w:r>
      <w:r w:rsidRPr="000B20F8">
        <w:rPr>
          <w:lang w:val="en-GB"/>
        </w:rPr>
        <w:tab/>
      </w:r>
      <w:r w:rsidRPr="000B20F8">
        <w:rPr>
          <w:lang w:val="en-GB"/>
        </w:rPr>
        <w:tab/>
      </w:r>
      <w:r w:rsidRPr="000B20F8">
        <w:rPr>
          <w:lang w:val="en-GB"/>
        </w:rPr>
        <w:tab/>
      </w:r>
      <w:r w:rsidRPr="000B20F8">
        <w:rPr>
          <w:lang w:val="en-GB"/>
        </w:rPr>
        <w:tab/>
        <w:t xml:space="preserve">         </w:t>
      </w:r>
      <w:r>
        <w:rPr>
          <w:lang w:val="en-GB"/>
        </w:rPr>
        <w:t xml:space="preserve"> 40</w:t>
      </w:r>
      <w:r w:rsidRPr="000B20F8">
        <w:rPr>
          <w:lang w:val="en-GB"/>
        </w:rPr>
        <w:t>%</w:t>
      </w:r>
      <w:r w:rsidRPr="000B20F8">
        <w:rPr>
          <w:lang w:val="en-GB"/>
        </w:rPr>
        <w:tab/>
      </w:r>
      <w:r w:rsidRPr="000B20F8">
        <w:rPr>
          <w:lang w:val="en-GB"/>
        </w:rPr>
        <w:tab/>
      </w:r>
      <w:r w:rsidRPr="000B20F8">
        <w:rPr>
          <w:lang w:val="en-GB"/>
        </w:rPr>
        <w:tab/>
        <w:t xml:space="preserve">  40%</w:t>
      </w:r>
    </w:p>
    <w:p w:rsidR="00F208C1" w:rsidRPr="000B20F8" w:rsidRDefault="00F208C1" w:rsidP="00F208C1">
      <w:pPr>
        <w:pStyle w:val="MFNumLev3"/>
        <w:ind w:left="720"/>
        <w:rPr>
          <w:lang w:val="en-GB"/>
        </w:rPr>
      </w:pPr>
      <w:r w:rsidRPr="000B20F8">
        <w:rPr>
          <w:lang w:val="en-GB"/>
        </w:rPr>
        <w:t>Of which Therapeutic engagements (3-9 sessions)</w:t>
      </w:r>
      <w:r w:rsidRPr="000B20F8">
        <w:rPr>
          <w:lang w:val="en-GB"/>
        </w:rPr>
        <w:tab/>
        <w:t xml:space="preserve">         </w:t>
      </w:r>
      <w:r>
        <w:rPr>
          <w:lang w:val="en-GB"/>
        </w:rPr>
        <w:t xml:space="preserve"> </w:t>
      </w:r>
      <w:r w:rsidRPr="000B20F8">
        <w:rPr>
          <w:lang w:val="en-GB"/>
        </w:rPr>
        <w:t>20%</w:t>
      </w:r>
      <w:r w:rsidRPr="000B20F8">
        <w:rPr>
          <w:lang w:val="en-GB"/>
        </w:rPr>
        <w:tab/>
      </w:r>
      <w:r w:rsidRPr="000B20F8">
        <w:rPr>
          <w:lang w:val="en-GB"/>
        </w:rPr>
        <w:tab/>
      </w:r>
      <w:r w:rsidRPr="000B20F8">
        <w:rPr>
          <w:lang w:val="en-GB"/>
        </w:rPr>
        <w:tab/>
        <w:t xml:space="preserve">  20%</w:t>
      </w:r>
    </w:p>
    <w:p w:rsidR="00F208C1" w:rsidRPr="000B20F8" w:rsidRDefault="00F208C1" w:rsidP="00F208C1">
      <w:pPr>
        <w:pStyle w:val="MFNumLev3"/>
        <w:ind w:left="720"/>
        <w:rPr>
          <w:lang w:val="en-GB"/>
        </w:rPr>
      </w:pPr>
      <w:r w:rsidRPr="000B20F8">
        <w:rPr>
          <w:lang w:val="en-GB"/>
        </w:rPr>
        <w:t xml:space="preserve">Of which Therapeutic engagements (10+ sessions)                  </w:t>
      </w:r>
      <w:r>
        <w:rPr>
          <w:lang w:val="en-GB"/>
        </w:rPr>
        <w:t xml:space="preserve">  4</w:t>
      </w:r>
      <w:r w:rsidRPr="000B20F8">
        <w:rPr>
          <w:lang w:val="en-GB"/>
        </w:rPr>
        <w:t>0%</w:t>
      </w:r>
      <w:r w:rsidRPr="000B20F8">
        <w:rPr>
          <w:lang w:val="en-GB"/>
        </w:rPr>
        <w:tab/>
      </w:r>
      <w:r w:rsidRPr="000B20F8">
        <w:rPr>
          <w:lang w:val="en-GB"/>
        </w:rPr>
        <w:tab/>
      </w:r>
      <w:r w:rsidRPr="000B20F8">
        <w:rPr>
          <w:lang w:val="en-GB"/>
        </w:rPr>
        <w:tab/>
        <w:t xml:space="preserve">  40%</w:t>
      </w:r>
    </w:p>
    <w:p w:rsidR="00F208C1" w:rsidRDefault="00F208C1"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807A57">
      <w:pPr>
        <w:rPr>
          <w:rFonts w:ascii="Times New Roman" w:eastAsia="Times New Roman" w:hAnsi="Times New Roman" w:cs="Times New Roman"/>
          <w:sz w:val="20"/>
          <w:szCs w:val="20"/>
          <w:lang w:val="en-GB" w:eastAsia="en-US"/>
        </w:rPr>
      </w:pPr>
    </w:p>
    <w:p w:rsidR="00816A8C" w:rsidRDefault="00816A8C" w:rsidP="00807A57">
      <w:pPr>
        <w:rPr>
          <w:b/>
        </w:rPr>
      </w:pPr>
    </w:p>
    <w:p w:rsidR="00807A57" w:rsidRDefault="00807A57" w:rsidP="00807A57">
      <w:pPr>
        <w:rPr>
          <w:b/>
        </w:rPr>
      </w:pPr>
      <w:r>
        <w:rPr>
          <w:b/>
        </w:rPr>
        <w:t>Appendix Two</w:t>
      </w:r>
    </w:p>
    <w:p w:rsidR="00807A57" w:rsidRDefault="00807A57" w:rsidP="00807A57">
      <w:pPr>
        <w:rPr>
          <w:b/>
        </w:rPr>
      </w:pPr>
      <w:r>
        <w:rPr>
          <w:b/>
        </w:rPr>
        <w:t>Members of the Board</w:t>
      </w:r>
    </w:p>
    <w:p w:rsidR="00807A57" w:rsidRPr="00807A57" w:rsidRDefault="00807A57" w:rsidP="00807A57">
      <w:pPr>
        <w:pStyle w:val="NormalWeb"/>
        <w:rPr>
          <w:rFonts w:asciiTheme="minorHAnsi" w:eastAsiaTheme="minorEastAsia" w:hAnsiTheme="minorHAnsi" w:cstheme="minorBidi"/>
          <w:sz w:val="20"/>
          <w:szCs w:val="20"/>
          <w:lang w:val="en-US" w:eastAsia="ja-JP"/>
        </w:rPr>
      </w:pPr>
      <w:r w:rsidRPr="00807A57">
        <w:rPr>
          <w:rFonts w:asciiTheme="minorHAnsi" w:eastAsiaTheme="minorEastAsia" w:hAnsiTheme="minorHAnsi" w:cstheme="minorBidi"/>
          <w:sz w:val="20"/>
          <w:szCs w:val="20"/>
          <w:lang w:val="en-US" w:eastAsia="ja-JP"/>
        </w:rPr>
        <w:t>Michael O' Grady- Chairperson, ex-Revenue Commissioner - negotiates on our behalf at agency level with our clinical manager.</w:t>
      </w:r>
    </w:p>
    <w:p w:rsidR="00807A57" w:rsidRPr="00807A57" w:rsidRDefault="00807A57" w:rsidP="00807A57">
      <w:pPr>
        <w:pStyle w:val="NormalWeb"/>
        <w:rPr>
          <w:rFonts w:asciiTheme="minorHAnsi" w:eastAsiaTheme="minorEastAsia" w:hAnsiTheme="minorHAnsi" w:cstheme="minorBidi"/>
          <w:sz w:val="20"/>
          <w:szCs w:val="20"/>
          <w:lang w:val="en-US" w:eastAsia="ja-JP"/>
        </w:rPr>
      </w:pPr>
      <w:r w:rsidRPr="00807A57">
        <w:rPr>
          <w:rFonts w:asciiTheme="minorHAnsi" w:eastAsiaTheme="minorEastAsia" w:hAnsiTheme="minorHAnsi" w:cstheme="minorBidi"/>
          <w:sz w:val="20"/>
          <w:szCs w:val="20"/>
          <w:lang w:val="en-US" w:eastAsia="ja-JP"/>
        </w:rPr>
        <w:t xml:space="preserve">Anne Keating - Company Secretary - community activist </w:t>
      </w:r>
      <w:r>
        <w:rPr>
          <w:rFonts w:asciiTheme="minorHAnsi" w:eastAsiaTheme="minorEastAsia" w:hAnsiTheme="minorHAnsi" w:cstheme="minorBidi"/>
          <w:sz w:val="20"/>
          <w:szCs w:val="20"/>
          <w:lang w:val="en-US" w:eastAsia="ja-JP"/>
        </w:rPr>
        <w:t xml:space="preserve">who </w:t>
      </w:r>
      <w:r w:rsidRPr="00807A57">
        <w:rPr>
          <w:rFonts w:asciiTheme="minorHAnsi" w:eastAsiaTheme="minorEastAsia" w:hAnsiTheme="minorHAnsi" w:cstheme="minorBidi"/>
          <w:sz w:val="20"/>
          <w:szCs w:val="20"/>
          <w:lang w:val="en-US" w:eastAsia="ja-JP"/>
        </w:rPr>
        <w:t>guides the project in relation to meeting community needs.</w:t>
      </w:r>
    </w:p>
    <w:p w:rsidR="00807A57" w:rsidRPr="00807A57" w:rsidRDefault="00807A57" w:rsidP="00807A57">
      <w:pPr>
        <w:pStyle w:val="NormalWeb"/>
        <w:rPr>
          <w:rFonts w:asciiTheme="minorHAnsi" w:eastAsiaTheme="minorEastAsia" w:hAnsiTheme="minorHAnsi" w:cstheme="minorBidi"/>
          <w:sz w:val="20"/>
          <w:szCs w:val="20"/>
          <w:lang w:val="en-US" w:eastAsia="ja-JP"/>
        </w:rPr>
      </w:pPr>
      <w:r w:rsidRPr="00807A57">
        <w:rPr>
          <w:rFonts w:asciiTheme="minorHAnsi" w:eastAsiaTheme="minorEastAsia" w:hAnsiTheme="minorHAnsi" w:cstheme="minorBidi"/>
          <w:sz w:val="20"/>
          <w:szCs w:val="20"/>
          <w:lang w:val="en-US" w:eastAsia="ja-JP"/>
        </w:rPr>
        <w:t>Patricia Flynn - Treasurer - co-founder and manager of Ballymun Law Centre brings legal support to the project.</w:t>
      </w:r>
    </w:p>
    <w:p w:rsidR="00807A57" w:rsidRPr="00807A57" w:rsidRDefault="00807A57" w:rsidP="00807A57">
      <w:pPr>
        <w:pStyle w:val="NormalWeb"/>
        <w:rPr>
          <w:rFonts w:asciiTheme="minorHAnsi" w:eastAsiaTheme="minorEastAsia" w:hAnsiTheme="minorHAnsi" w:cstheme="minorBidi"/>
          <w:sz w:val="20"/>
          <w:szCs w:val="20"/>
          <w:lang w:val="en-US" w:eastAsia="ja-JP"/>
        </w:rPr>
      </w:pPr>
      <w:r w:rsidRPr="00807A57">
        <w:rPr>
          <w:rFonts w:asciiTheme="minorHAnsi" w:eastAsiaTheme="minorEastAsia" w:hAnsiTheme="minorHAnsi" w:cstheme="minorBidi"/>
          <w:sz w:val="20"/>
          <w:szCs w:val="20"/>
          <w:lang w:val="en-US" w:eastAsia="ja-JP"/>
        </w:rPr>
        <w:t>Patricia Gibson - local resident and community activist - keeps us connected to the community.</w:t>
      </w:r>
    </w:p>
    <w:p w:rsidR="00807A57" w:rsidRPr="00807A57" w:rsidRDefault="00807A57" w:rsidP="00807A57">
      <w:pPr>
        <w:pStyle w:val="NormalWeb"/>
        <w:rPr>
          <w:rFonts w:asciiTheme="minorHAnsi" w:eastAsiaTheme="minorEastAsia" w:hAnsiTheme="minorHAnsi" w:cstheme="minorBidi"/>
          <w:sz w:val="20"/>
          <w:szCs w:val="20"/>
          <w:lang w:val="en-US" w:eastAsia="ja-JP"/>
        </w:rPr>
      </w:pPr>
      <w:r w:rsidRPr="00807A57">
        <w:rPr>
          <w:rFonts w:asciiTheme="minorHAnsi" w:eastAsiaTheme="minorEastAsia" w:hAnsiTheme="minorHAnsi" w:cstheme="minorBidi"/>
          <w:sz w:val="20"/>
          <w:szCs w:val="20"/>
          <w:lang w:val="en-US" w:eastAsia="ja-JP"/>
        </w:rPr>
        <w:t xml:space="preserve">Joanna Doyle - H.R. support - local teacher - </w:t>
      </w:r>
      <w:r>
        <w:rPr>
          <w:rFonts w:asciiTheme="minorHAnsi" w:eastAsiaTheme="minorEastAsia" w:hAnsiTheme="minorHAnsi" w:cstheme="minorBidi"/>
          <w:sz w:val="20"/>
          <w:szCs w:val="20"/>
          <w:lang w:val="en-US" w:eastAsia="ja-JP"/>
        </w:rPr>
        <w:t>advice on employment and referr</w:t>
      </w:r>
      <w:r w:rsidRPr="00807A57">
        <w:rPr>
          <w:rFonts w:asciiTheme="minorHAnsi" w:eastAsiaTheme="minorEastAsia" w:hAnsiTheme="minorHAnsi" w:cstheme="minorBidi"/>
          <w:sz w:val="20"/>
          <w:szCs w:val="20"/>
          <w:lang w:val="en-US" w:eastAsia="ja-JP"/>
        </w:rPr>
        <w:t>al onwards.</w:t>
      </w:r>
    </w:p>
    <w:p w:rsidR="00807A57" w:rsidRPr="00807A57" w:rsidRDefault="00807A57" w:rsidP="00807A57">
      <w:pPr>
        <w:pStyle w:val="NormalWeb"/>
        <w:rPr>
          <w:rFonts w:asciiTheme="minorHAnsi" w:eastAsiaTheme="minorEastAsia" w:hAnsiTheme="minorHAnsi" w:cstheme="minorBidi"/>
          <w:sz w:val="20"/>
          <w:szCs w:val="20"/>
          <w:lang w:val="en-US" w:eastAsia="ja-JP"/>
        </w:rPr>
      </w:pPr>
      <w:r w:rsidRPr="00807A57">
        <w:rPr>
          <w:rFonts w:asciiTheme="minorHAnsi" w:eastAsiaTheme="minorEastAsia" w:hAnsiTheme="minorHAnsi" w:cstheme="minorBidi"/>
          <w:sz w:val="20"/>
          <w:szCs w:val="20"/>
          <w:lang w:val="en-US" w:eastAsia="ja-JP"/>
        </w:rPr>
        <w:t>Fr. Peter McVerry S.J. - local resident - support in keeping clients from becoming homeless.</w:t>
      </w:r>
    </w:p>
    <w:p w:rsidR="00807A57" w:rsidRPr="008F5C00" w:rsidRDefault="00807A57" w:rsidP="00807A57">
      <w:pPr>
        <w:rPr>
          <w: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Default="00807A57" w:rsidP="00F208C1">
      <w:pPr>
        <w:pStyle w:val="MFNumLev3"/>
        <w:rPr>
          <w:rFonts w:ascii="Times New Roman" w:hAnsi="Times New Roman"/>
          <w:lang w:val="en-GB"/>
        </w:rPr>
      </w:pPr>
    </w:p>
    <w:p w:rsidR="00807A57" w:rsidRPr="00D607E7" w:rsidRDefault="00807A57" w:rsidP="00F208C1">
      <w:pPr>
        <w:pStyle w:val="MFNumLev3"/>
        <w:rPr>
          <w:rFonts w:ascii="Times New Roman" w:hAnsi="Times New Roman"/>
          <w:lang w:val="en-GB"/>
        </w:rPr>
      </w:pPr>
    </w:p>
    <w:sectPr w:rsidR="00807A57" w:rsidRPr="00D607E7" w:rsidSect="00DA6159">
      <w:pgSz w:w="12240" w:h="15840"/>
      <w:pgMar w:top="1440" w:right="1440" w:bottom="1440" w:left="1440" w:header="720" w:footer="720" w:gutter="0"/>
      <w:pgNumType w:start="0"/>
      <w:cols w:space="720"/>
      <w:titlePg/>
      <w:docGrid w:linePitch="2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eiryo">
    <w:panose1 w:val="020B0604030504040204"/>
    <w:charset w:val="80"/>
    <w:family w:val="swiss"/>
    <w:pitch w:val="variable"/>
    <w:sig w:usb0="E00002FF" w:usb1="6AC7FFFF"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F932FD"/>
    <w:multiLevelType w:val="hybridMultilevel"/>
    <w:tmpl w:val="76725168"/>
    <w:lvl w:ilvl="0" w:tplc="0E808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E0608B8"/>
    <w:multiLevelType w:val="hybridMultilevel"/>
    <w:tmpl w:val="BA48E97A"/>
    <w:lvl w:ilvl="0" w:tplc="CFDE045C">
      <w:numFmt w:val="bullet"/>
      <w:lvlText w:val="-"/>
      <w:lvlJc w:val="left"/>
      <w:pPr>
        <w:ind w:left="360" w:hanging="360"/>
      </w:pPr>
      <w:rPr>
        <w:rFonts w:ascii="Century Gothic" w:eastAsiaTheme="minorEastAsia" w:hAnsi="Century Gothic"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EC05455"/>
    <w:multiLevelType w:val="hybridMultilevel"/>
    <w:tmpl w:val="1E38928A"/>
    <w:lvl w:ilvl="0" w:tplc="C51EA958">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attachedTemplate r:id="rId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032"/>
    <w:rsid w:val="0017544B"/>
    <w:rsid w:val="00176EB7"/>
    <w:rsid w:val="002022C7"/>
    <w:rsid w:val="00243DA6"/>
    <w:rsid w:val="0029314D"/>
    <w:rsid w:val="002A7741"/>
    <w:rsid w:val="0037363A"/>
    <w:rsid w:val="003B242A"/>
    <w:rsid w:val="003E120B"/>
    <w:rsid w:val="0044583D"/>
    <w:rsid w:val="00460FE1"/>
    <w:rsid w:val="0047682A"/>
    <w:rsid w:val="00493475"/>
    <w:rsid w:val="005045B7"/>
    <w:rsid w:val="00511C8F"/>
    <w:rsid w:val="00511F05"/>
    <w:rsid w:val="00543A6A"/>
    <w:rsid w:val="00594B8B"/>
    <w:rsid w:val="00603A3B"/>
    <w:rsid w:val="00615C2C"/>
    <w:rsid w:val="006238A8"/>
    <w:rsid w:val="006A73BD"/>
    <w:rsid w:val="006D6EB9"/>
    <w:rsid w:val="006F06AC"/>
    <w:rsid w:val="00753200"/>
    <w:rsid w:val="00757753"/>
    <w:rsid w:val="007733F7"/>
    <w:rsid w:val="007A451D"/>
    <w:rsid w:val="00807A57"/>
    <w:rsid w:val="00816A8C"/>
    <w:rsid w:val="0086588A"/>
    <w:rsid w:val="00887F12"/>
    <w:rsid w:val="00892278"/>
    <w:rsid w:val="008A2781"/>
    <w:rsid w:val="008A68AB"/>
    <w:rsid w:val="008B32F3"/>
    <w:rsid w:val="008F5C00"/>
    <w:rsid w:val="00901942"/>
    <w:rsid w:val="009343D3"/>
    <w:rsid w:val="009E56CD"/>
    <w:rsid w:val="009F2D09"/>
    <w:rsid w:val="00A44242"/>
    <w:rsid w:val="00A51D87"/>
    <w:rsid w:val="00A543F3"/>
    <w:rsid w:val="00A64FBA"/>
    <w:rsid w:val="00AB7DCA"/>
    <w:rsid w:val="00B10BBD"/>
    <w:rsid w:val="00B72CA7"/>
    <w:rsid w:val="00BC5877"/>
    <w:rsid w:val="00C43861"/>
    <w:rsid w:val="00C777BE"/>
    <w:rsid w:val="00C86804"/>
    <w:rsid w:val="00CB53FC"/>
    <w:rsid w:val="00CC3166"/>
    <w:rsid w:val="00DA6159"/>
    <w:rsid w:val="00DF70B9"/>
    <w:rsid w:val="00E17212"/>
    <w:rsid w:val="00E223CF"/>
    <w:rsid w:val="00E42D19"/>
    <w:rsid w:val="00E50074"/>
    <w:rsid w:val="00EF18E5"/>
    <w:rsid w:val="00F053F5"/>
    <w:rsid w:val="00F208C1"/>
    <w:rsid w:val="00F36032"/>
    <w:rsid w:val="00F42711"/>
    <w:rsid w:val="00F65EED"/>
    <w:rsid w:val="00FD758B"/>
    <w:rsid w:val="00FD7C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17"/>
        <w:szCs w:val="17"/>
        <w:lang w:val="en-US" w:eastAsia="ja-JP"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olor w:val="B01513" w:themeColor="accent1"/>
      <w:sz w:val="28"/>
      <w:szCs w:val="28"/>
    </w:rPr>
  </w:style>
  <w:style w:type="paragraph" w:styleId="Heading2">
    <w:name w:val="heading 2"/>
    <w:basedOn w:val="Normal"/>
    <w:next w:val="Normal"/>
    <w:link w:val="Heading2Char"/>
    <w:uiPriority w:val="9"/>
    <w:semiHidden/>
    <w:unhideWhenUsed/>
    <w:qFormat/>
    <w:pPr>
      <w:keepNext/>
      <w:keepLines/>
      <w:spacing w:before="160" w:after="0" w:line="240" w:lineRule="auto"/>
      <w:outlineLvl w:val="1"/>
    </w:pPr>
    <w:rPr>
      <w:rFonts w:asciiTheme="majorHAnsi" w:eastAsiaTheme="majorEastAsia" w:hAnsiTheme="majorHAnsi" w:cstheme="majorBidi"/>
      <w:color w:val="404040" w:themeColor="text1" w:themeTint="BF"/>
      <w:sz w:val="24"/>
      <w:szCs w:val="24"/>
    </w:rPr>
  </w:style>
  <w:style w:type="paragraph" w:styleId="Heading3">
    <w:name w:val="heading 3"/>
    <w:basedOn w:val="Normal"/>
    <w:next w:val="Normal"/>
    <w:link w:val="Heading3Char"/>
    <w:uiPriority w:val="9"/>
    <w:semiHidden/>
    <w:unhideWhenUsed/>
    <w:qFormat/>
    <w:pPr>
      <w:keepNext/>
      <w:keepLines/>
      <w:spacing w:before="40" w:after="0" w:line="240" w:lineRule="auto"/>
      <w:outlineLvl w:val="2"/>
    </w:pPr>
    <w:rPr>
      <w:rFonts w:asciiTheme="majorHAnsi" w:eastAsiaTheme="majorEastAsia" w:hAnsiTheme="majorHAnsi" w:cstheme="majorBidi"/>
      <w:color w:val="B01513" w:themeColor="accent1"/>
      <w:sz w:val="22"/>
      <w:szCs w:val="22"/>
    </w:rPr>
  </w:style>
  <w:style w:type="paragraph" w:styleId="Heading4">
    <w:name w:val="heading 4"/>
    <w:basedOn w:val="Normal"/>
    <w:next w:val="Normal"/>
    <w:link w:val="Heading4Char"/>
    <w:uiPriority w:val="9"/>
    <w:semiHidden/>
    <w:unhideWhenUsed/>
    <w:qFormat/>
    <w:pPr>
      <w:keepNext/>
      <w:keepLines/>
      <w:spacing w:before="160" w:after="0"/>
      <w:outlineLvl w:val="3"/>
    </w:pPr>
    <w:rPr>
      <w:rFonts w:asciiTheme="majorHAnsi" w:eastAsiaTheme="majorEastAsia" w:hAnsiTheme="majorHAnsi" w:cstheme="majorBidi"/>
      <w:b/>
      <w:bCs/>
      <w:color w:val="000000" w:themeColor="text1"/>
      <w:sz w:val="20"/>
      <w:szCs w:val="20"/>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sz w:val="20"/>
      <w:szCs w:val="20"/>
    </w:rPr>
  </w:style>
  <w:style w:type="paragraph" w:styleId="Heading6">
    <w:name w:val="heading 6"/>
    <w:basedOn w:val="Normal"/>
    <w:next w:val="Normal"/>
    <w:link w:val="Heading6Char"/>
    <w:uiPriority w:val="9"/>
    <w:semiHidden/>
    <w:unhideWhenUsed/>
    <w:qFormat/>
    <w:pPr>
      <w:keepNext/>
      <w:keepLines/>
      <w:spacing w:before="160" w:after="0"/>
      <w:outlineLvl w:val="5"/>
    </w:pPr>
    <w:rPr>
      <w:rFonts w:asciiTheme="majorHAnsi" w:eastAsiaTheme="majorEastAsia" w:hAnsiTheme="majorHAnsi" w:cstheme="majorBidi"/>
      <w:b/>
      <w:bCs/>
      <w:i/>
      <w:iCs/>
      <w:sz w:val="20"/>
      <w:szCs w:val="2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000000" w:themeColor="text1"/>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olor w:val="000000" w:themeColor="text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b/>
      <w:bCs/>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Pr>
      <w:b/>
      <w:bCs/>
      <w:caps w:val="0"/>
      <w:smallCaps/>
      <w:spacing w:val="10"/>
    </w:rPr>
  </w:style>
  <w:style w:type="paragraph" w:styleId="Caption">
    <w:name w:val="caption"/>
    <w:basedOn w:val="Normal"/>
    <w:next w:val="Normal"/>
    <w:uiPriority w:val="35"/>
    <w:semiHidden/>
    <w:unhideWhenUsed/>
    <w:qFormat/>
    <w:pPr>
      <w:spacing w:line="240" w:lineRule="auto"/>
    </w:pPr>
    <w:rPr>
      <w:b/>
      <w:bCs/>
      <w:smallCaps/>
      <w:color w:val="595959" w:themeColor="text1" w:themeTint="A6"/>
      <w:spacing w:val="6"/>
    </w:rPr>
  </w:style>
  <w:style w:type="character" w:styleId="Emphasis">
    <w:name w:val="Emphasis"/>
    <w:basedOn w:val="DefaultParagraphFont"/>
    <w:uiPriority w:val="20"/>
    <w:qFormat/>
    <w:rPr>
      <w:i/>
      <w:iCs/>
      <w:color w:val="000000" w:themeColor="text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B01513" w:themeColor="accent1"/>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404040" w:themeColor="text1" w:themeTint="BF"/>
      <w:sz w:val="24"/>
      <w:szCs w:val="24"/>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B01513" w:themeColor="accent1"/>
      <w:sz w:val="22"/>
      <w:szCs w:val="2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color w:val="000000" w:themeColor="text1"/>
      <w:sz w:val="20"/>
      <w:szCs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0"/>
      <w:szCs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themeColor="text1"/>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olor w:val="000000" w:themeColor="text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olor w:val="000000" w:themeColor="text1"/>
    </w:rPr>
  </w:style>
  <w:style w:type="character" w:styleId="IntenseEmphasis">
    <w:name w:val="Intense Emphasis"/>
    <w:basedOn w:val="DefaultParagraphFont"/>
    <w:uiPriority w:val="21"/>
    <w:qFormat/>
    <w:rPr>
      <w:b/>
      <w:bCs/>
      <w:i/>
      <w:iCs/>
      <w:color w:val="auto"/>
    </w:rPr>
  </w:style>
  <w:style w:type="paragraph" w:styleId="IntenseQuote">
    <w:name w:val="Intense Quote"/>
    <w:basedOn w:val="Normal"/>
    <w:next w:val="Normal"/>
    <w:link w:val="IntenseQuoteChar"/>
    <w:uiPriority w:val="30"/>
    <w:qFormat/>
    <w:pPr>
      <w:pBdr>
        <w:left w:val="single" w:sz="36" w:space="4" w:color="B01513" w:themeColor="accent1"/>
      </w:pBdr>
      <w:spacing w:before="100" w:beforeAutospacing="1"/>
      <w:ind w:left="1224" w:right="1224"/>
    </w:pPr>
    <w:rPr>
      <w:color w:val="B01513" w:themeColor="accent1"/>
      <w:sz w:val="28"/>
      <w:szCs w:val="28"/>
    </w:rPr>
  </w:style>
  <w:style w:type="character" w:customStyle="1" w:styleId="IntenseQuoteChar">
    <w:name w:val="Intense Quote Char"/>
    <w:basedOn w:val="DefaultParagraphFont"/>
    <w:link w:val="IntenseQuote"/>
    <w:uiPriority w:val="30"/>
    <w:rPr>
      <w:color w:val="B01513" w:themeColor="accent1"/>
      <w:sz w:val="28"/>
      <w:szCs w:val="28"/>
    </w:rPr>
  </w:style>
  <w:style w:type="character" w:styleId="IntenseReference">
    <w:name w:val="Intense Reference"/>
    <w:basedOn w:val="DefaultParagraphFont"/>
    <w:uiPriority w:val="32"/>
    <w:qFormat/>
    <w:rPr>
      <w:b/>
      <w:bCs/>
      <w:caps w:val="0"/>
      <w:smallCaps/>
      <w:color w:val="auto"/>
      <w:spacing w:val="5"/>
      <w:u w:val="single"/>
    </w:rPr>
  </w:style>
  <w:style w:type="character" w:styleId="Hyperlink">
    <w:name w:val="Hyperlink"/>
    <w:basedOn w:val="DefaultParagraphFont"/>
    <w:unhideWhenUsed/>
    <w:rPr>
      <w:color w:val="4FB8C1" w:themeColor="text2" w:themeTint="99"/>
      <w:u w:val="single"/>
    </w:rPr>
  </w:style>
  <w:style w:type="character" w:styleId="FollowedHyperlink">
    <w:name w:val="FollowedHyperlink"/>
    <w:basedOn w:val="DefaultParagraphFont"/>
    <w:uiPriority w:val="99"/>
    <w:semiHidden/>
    <w:unhideWhenUsed/>
    <w:rPr>
      <w:color w:val="9DFFCB" w:themeColor="followedHyperlink"/>
      <w:u w:val="single"/>
    </w:r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Quote">
    <w:name w:val="Quote"/>
    <w:basedOn w:val="Normal"/>
    <w:next w:val="Normal"/>
    <w:link w:val="QuoteChar"/>
    <w:uiPriority w:val="29"/>
    <w:qFormat/>
    <w:pPr>
      <w:spacing w:before="160"/>
      <w:ind w:left="864" w:right="864"/>
    </w:pPr>
    <w:rPr>
      <w:rFonts w:asciiTheme="majorHAnsi" w:eastAsiaTheme="majorEastAsia" w:hAnsiTheme="majorHAnsi" w:cstheme="majorBidi"/>
    </w:rPr>
  </w:style>
  <w:style w:type="character" w:customStyle="1" w:styleId="QuoteChar">
    <w:name w:val="Quote Char"/>
    <w:basedOn w:val="DefaultParagraphFont"/>
    <w:link w:val="Quote"/>
    <w:uiPriority w:val="29"/>
    <w:rPr>
      <w:rFonts w:asciiTheme="majorHAnsi" w:eastAsiaTheme="majorEastAsia" w:hAnsiTheme="majorHAnsi" w:cstheme="majorBidi"/>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numPr>
        <w:ilvl w:val="1"/>
      </w:numPr>
    </w:pPr>
    <w:rPr>
      <w:sz w:val="28"/>
      <w:szCs w:val="28"/>
    </w:rPr>
  </w:style>
  <w:style w:type="character" w:customStyle="1" w:styleId="SubtitleChar">
    <w:name w:val="Subtitle Char"/>
    <w:basedOn w:val="DefaultParagraphFont"/>
    <w:link w:val="Subtitle"/>
    <w:uiPriority w:val="11"/>
    <w:rPr>
      <w:sz w:val="28"/>
      <w:szCs w:val="28"/>
    </w:rPr>
  </w:style>
  <w:style w:type="character" w:styleId="SubtleEmphasis">
    <w:name w:val="Subtle Emphasis"/>
    <w:basedOn w:val="DefaultParagraphFont"/>
    <w:uiPriority w:val="19"/>
    <w:qFormat/>
    <w:rPr>
      <w:i/>
      <w:iCs/>
      <w:color w:val="595959" w:themeColor="text1" w:themeTint="A6"/>
    </w:rPr>
  </w:style>
  <w:style w:type="character" w:styleId="SubtleReference">
    <w:name w:val="Subtle Reference"/>
    <w:basedOn w:val="DefaultParagraphFont"/>
    <w:uiPriority w:val="31"/>
    <w:qFormat/>
    <w:rPr>
      <w:caps w:val="0"/>
      <w:smallCaps/>
      <w:color w:val="404040" w:themeColor="text1" w:themeTint="BF"/>
      <w:u w:val="single" w:color="7F7F7F" w:themeColor="text1" w:themeTint="80"/>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B01513" w:themeColor="accent1"/>
      <w:kern w:val="28"/>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olor w:val="B01513" w:themeColor="accent1"/>
      <w:kern w:val="28"/>
      <w:sz w:val="72"/>
      <w:szCs w:val="72"/>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sid w:val="006D6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EB9"/>
    <w:rPr>
      <w:rFonts w:ascii="Tahoma" w:hAnsi="Tahoma" w:cs="Tahoma"/>
      <w:sz w:val="16"/>
      <w:szCs w:val="16"/>
    </w:rPr>
  </w:style>
  <w:style w:type="paragraph" w:customStyle="1" w:styleId="MFNumLev3">
    <w:name w:val="MFNumLev3"/>
    <w:basedOn w:val="Normal"/>
    <w:rsid w:val="00CC3166"/>
    <w:pPr>
      <w:spacing w:after="240" w:line="240" w:lineRule="auto"/>
    </w:pPr>
    <w:rPr>
      <w:rFonts w:ascii="Arial" w:eastAsia="Times New Roman" w:hAnsi="Arial" w:cs="Times New Roman"/>
      <w:sz w:val="20"/>
      <w:szCs w:val="20"/>
      <w:lang w:val="en-IE" w:eastAsia="en-US"/>
    </w:rPr>
  </w:style>
  <w:style w:type="paragraph" w:styleId="NormalWeb">
    <w:name w:val="Normal (Web)"/>
    <w:basedOn w:val="Normal"/>
    <w:uiPriority w:val="99"/>
    <w:semiHidden/>
    <w:unhideWhenUsed/>
    <w:rsid w:val="00807A57"/>
    <w:pPr>
      <w:spacing w:before="100" w:beforeAutospacing="1" w:after="100" w:afterAutospacing="1" w:line="240" w:lineRule="auto"/>
    </w:pPr>
    <w:rPr>
      <w:rFonts w:ascii="Times New Roman" w:eastAsia="Times New Roman" w:hAnsi="Times New Roman" w:cs="Times New Roman"/>
      <w:sz w:val="24"/>
      <w:szCs w:val="24"/>
      <w:lang w:val="en-IE" w:eastAsia="en-I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17"/>
        <w:szCs w:val="17"/>
        <w:lang w:val="en-US" w:eastAsia="ja-JP"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olor w:val="B01513" w:themeColor="accent1"/>
      <w:sz w:val="28"/>
      <w:szCs w:val="28"/>
    </w:rPr>
  </w:style>
  <w:style w:type="paragraph" w:styleId="Heading2">
    <w:name w:val="heading 2"/>
    <w:basedOn w:val="Normal"/>
    <w:next w:val="Normal"/>
    <w:link w:val="Heading2Char"/>
    <w:uiPriority w:val="9"/>
    <w:semiHidden/>
    <w:unhideWhenUsed/>
    <w:qFormat/>
    <w:pPr>
      <w:keepNext/>
      <w:keepLines/>
      <w:spacing w:before="160" w:after="0" w:line="240" w:lineRule="auto"/>
      <w:outlineLvl w:val="1"/>
    </w:pPr>
    <w:rPr>
      <w:rFonts w:asciiTheme="majorHAnsi" w:eastAsiaTheme="majorEastAsia" w:hAnsiTheme="majorHAnsi" w:cstheme="majorBidi"/>
      <w:color w:val="404040" w:themeColor="text1" w:themeTint="BF"/>
      <w:sz w:val="24"/>
      <w:szCs w:val="24"/>
    </w:rPr>
  </w:style>
  <w:style w:type="paragraph" w:styleId="Heading3">
    <w:name w:val="heading 3"/>
    <w:basedOn w:val="Normal"/>
    <w:next w:val="Normal"/>
    <w:link w:val="Heading3Char"/>
    <w:uiPriority w:val="9"/>
    <w:semiHidden/>
    <w:unhideWhenUsed/>
    <w:qFormat/>
    <w:pPr>
      <w:keepNext/>
      <w:keepLines/>
      <w:spacing w:before="40" w:after="0" w:line="240" w:lineRule="auto"/>
      <w:outlineLvl w:val="2"/>
    </w:pPr>
    <w:rPr>
      <w:rFonts w:asciiTheme="majorHAnsi" w:eastAsiaTheme="majorEastAsia" w:hAnsiTheme="majorHAnsi" w:cstheme="majorBidi"/>
      <w:color w:val="B01513" w:themeColor="accent1"/>
      <w:sz w:val="22"/>
      <w:szCs w:val="22"/>
    </w:rPr>
  </w:style>
  <w:style w:type="paragraph" w:styleId="Heading4">
    <w:name w:val="heading 4"/>
    <w:basedOn w:val="Normal"/>
    <w:next w:val="Normal"/>
    <w:link w:val="Heading4Char"/>
    <w:uiPriority w:val="9"/>
    <w:semiHidden/>
    <w:unhideWhenUsed/>
    <w:qFormat/>
    <w:pPr>
      <w:keepNext/>
      <w:keepLines/>
      <w:spacing w:before="160" w:after="0"/>
      <w:outlineLvl w:val="3"/>
    </w:pPr>
    <w:rPr>
      <w:rFonts w:asciiTheme="majorHAnsi" w:eastAsiaTheme="majorEastAsia" w:hAnsiTheme="majorHAnsi" w:cstheme="majorBidi"/>
      <w:b/>
      <w:bCs/>
      <w:color w:val="000000" w:themeColor="text1"/>
      <w:sz w:val="20"/>
      <w:szCs w:val="20"/>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sz w:val="20"/>
      <w:szCs w:val="20"/>
    </w:rPr>
  </w:style>
  <w:style w:type="paragraph" w:styleId="Heading6">
    <w:name w:val="heading 6"/>
    <w:basedOn w:val="Normal"/>
    <w:next w:val="Normal"/>
    <w:link w:val="Heading6Char"/>
    <w:uiPriority w:val="9"/>
    <w:semiHidden/>
    <w:unhideWhenUsed/>
    <w:qFormat/>
    <w:pPr>
      <w:keepNext/>
      <w:keepLines/>
      <w:spacing w:before="160" w:after="0"/>
      <w:outlineLvl w:val="5"/>
    </w:pPr>
    <w:rPr>
      <w:rFonts w:asciiTheme="majorHAnsi" w:eastAsiaTheme="majorEastAsia" w:hAnsiTheme="majorHAnsi" w:cstheme="majorBidi"/>
      <w:b/>
      <w:bCs/>
      <w:i/>
      <w:iCs/>
      <w:sz w:val="20"/>
      <w:szCs w:val="20"/>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ajorHAnsi" w:eastAsiaTheme="majorEastAsia" w:hAnsiTheme="majorHAnsi" w:cstheme="majorBidi"/>
      <w:i/>
      <w:iCs/>
      <w:color w:val="000000" w:themeColor="text1"/>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olor w:val="000000" w:themeColor="text1"/>
    </w:rPr>
  </w:style>
  <w:style w:type="paragraph" w:styleId="Heading9">
    <w:name w:val="heading 9"/>
    <w:basedOn w:val="Normal"/>
    <w:next w:val="Normal"/>
    <w:link w:val="Heading9Char"/>
    <w:uiPriority w:val="9"/>
    <w:semiHidden/>
    <w:unhideWhenUsed/>
    <w:qFormat/>
    <w:pPr>
      <w:keepNext/>
      <w:keepLines/>
      <w:spacing w:before="40" w:after="0"/>
      <w:outlineLvl w:val="8"/>
    </w:pPr>
    <w:rPr>
      <w:rFonts w:asciiTheme="majorHAnsi" w:eastAsiaTheme="majorEastAsia" w:hAnsiTheme="majorHAnsi" w:cstheme="majorBidi"/>
      <w:b/>
      <w:bCs/>
      <w:i/>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Pr>
      <w:b/>
      <w:bCs/>
      <w:caps w:val="0"/>
      <w:smallCaps/>
      <w:spacing w:val="10"/>
    </w:rPr>
  </w:style>
  <w:style w:type="paragraph" w:styleId="Caption">
    <w:name w:val="caption"/>
    <w:basedOn w:val="Normal"/>
    <w:next w:val="Normal"/>
    <w:uiPriority w:val="35"/>
    <w:semiHidden/>
    <w:unhideWhenUsed/>
    <w:qFormat/>
    <w:pPr>
      <w:spacing w:line="240" w:lineRule="auto"/>
    </w:pPr>
    <w:rPr>
      <w:b/>
      <w:bCs/>
      <w:smallCaps/>
      <w:color w:val="595959" w:themeColor="text1" w:themeTint="A6"/>
      <w:spacing w:val="6"/>
    </w:rPr>
  </w:style>
  <w:style w:type="character" w:styleId="Emphasis">
    <w:name w:val="Emphasis"/>
    <w:basedOn w:val="DefaultParagraphFont"/>
    <w:uiPriority w:val="20"/>
    <w:qFormat/>
    <w:rPr>
      <w:i/>
      <w:iCs/>
      <w:color w:val="000000" w:themeColor="text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B01513" w:themeColor="accent1"/>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404040" w:themeColor="text1" w:themeTint="BF"/>
      <w:sz w:val="24"/>
      <w:szCs w:val="24"/>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B01513" w:themeColor="accent1"/>
      <w:sz w:val="22"/>
      <w:szCs w:val="2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color w:val="000000" w:themeColor="text1"/>
      <w:sz w:val="20"/>
      <w:szCs w:val="20"/>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sz w:val="20"/>
      <w:szCs w:val="2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themeColor="text1"/>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olor w:val="000000" w:themeColor="text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olor w:val="000000" w:themeColor="text1"/>
    </w:rPr>
  </w:style>
  <w:style w:type="character" w:styleId="IntenseEmphasis">
    <w:name w:val="Intense Emphasis"/>
    <w:basedOn w:val="DefaultParagraphFont"/>
    <w:uiPriority w:val="21"/>
    <w:qFormat/>
    <w:rPr>
      <w:b/>
      <w:bCs/>
      <w:i/>
      <w:iCs/>
      <w:color w:val="auto"/>
    </w:rPr>
  </w:style>
  <w:style w:type="paragraph" w:styleId="IntenseQuote">
    <w:name w:val="Intense Quote"/>
    <w:basedOn w:val="Normal"/>
    <w:next w:val="Normal"/>
    <w:link w:val="IntenseQuoteChar"/>
    <w:uiPriority w:val="30"/>
    <w:qFormat/>
    <w:pPr>
      <w:pBdr>
        <w:left w:val="single" w:sz="36" w:space="4" w:color="B01513" w:themeColor="accent1"/>
      </w:pBdr>
      <w:spacing w:before="100" w:beforeAutospacing="1"/>
      <w:ind w:left="1224" w:right="1224"/>
    </w:pPr>
    <w:rPr>
      <w:color w:val="B01513" w:themeColor="accent1"/>
      <w:sz w:val="28"/>
      <w:szCs w:val="28"/>
    </w:rPr>
  </w:style>
  <w:style w:type="character" w:customStyle="1" w:styleId="IntenseQuoteChar">
    <w:name w:val="Intense Quote Char"/>
    <w:basedOn w:val="DefaultParagraphFont"/>
    <w:link w:val="IntenseQuote"/>
    <w:uiPriority w:val="30"/>
    <w:rPr>
      <w:color w:val="B01513" w:themeColor="accent1"/>
      <w:sz w:val="28"/>
      <w:szCs w:val="28"/>
    </w:rPr>
  </w:style>
  <w:style w:type="character" w:styleId="IntenseReference">
    <w:name w:val="Intense Reference"/>
    <w:basedOn w:val="DefaultParagraphFont"/>
    <w:uiPriority w:val="32"/>
    <w:qFormat/>
    <w:rPr>
      <w:b/>
      <w:bCs/>
      <w:caps w:val="0"/>
      <w:smallCaps/>
      <w:color w:val="auto"/>
      <w:spacing w:val="5"/>
      <w:u w:val="single"/>
    </w:rPr>
  </w:style>
  <w:style w:type="character" w:styleId="Hyperlink">
    <w:name w:val="Hyperlink"/>
    <w:basedOn w:val="DefaultParagraphFont"/>
    <w:unhideWhenUsed/>
    <w:rPr>
      <w:color w:val="4FB8C1" w:themeColor="text2" w:themeTint="99"/>
      <w:u w:val="single"/>
    </w:rPr>
  </w:style>
  <w:style w:type="character" w:styleId="FollowedHyperlink">
    <w:name w:val="FollowedHyperlink"/>
    <w:basedOn w:val="DefaultParagraphFont"/>
    <w:uiPriority w:val="99"/>
    <w:semiHidden/>
    <w:unhideWhenUsed/>
    <w:rPr>
      <w:color w:val="9DFFCB" w:themeColor="followedHyperlink"/>
      <w:u w:val="single"/>
    </w:rPr>
  </w:style>
  <w:style w:type="paragraph" w:styleId="NoSpacing">
    <w:name w:val="No Spacing"/>
    <w:link w:val="NoSpacingChar"/>
    <w:uiPriority w:val="1"/>
    <w:qFormat/>
    <w:pPr>
      <w:spacing w:after="0" w:line="240" w:lineRule="auto"/>
    </w:pPr>
  </w:style>
  <w:style w:type="character" w:customStyle="1" w:styleId="NoSpacingChar">
    <w:name w:val="No Spacing Char"/>
    <w:basedOn w:val="DefaultParagraphFont"/>
    <w:link w:val="NoSpacing"/>
    <w:uiPriority w:val="1"/>
  </w:style>
  <w:style w:type="paragraph" w:styleId="Quote">
    <w:name w:val="Quote"/>
    <w:basedOn w:val="Normal"/>
    <w:next w:val="Normal"/>
    <w:link w:val="QuoteChar"/>
    <w:uiPriority w:val="29"/>
    <w:qFormat/>
    <w:pPr>
      <w:spacing w:before="160"/>
      <w:ind w:left="864" w:right="864"/>
    </w:pPr>
    <w:rPr>
      <w:rFonts w:asciiTheme="majorHAnsi" w:eastAsiaTheme="majorEastAsia" w:hAnsiTheme="majorHAnsi" w:cstheme="majorBidi"/>
    </w:rPr>
  </w:style>
  <w:style w:type="character" w:customStyle="1" w:styleId="QuoteChar">
    <w:name w:val="Quote Char"/>
    <w:basedOn w:val="DefaultParagraphFont"/>
    <w:link w:val="Quote"/>
    <w:uiPriority w:val="29"/>
    <w:rPr>
      <w:rFonts w:asciiTheme="majorHAnsi" w:eastAsiaTheme="majorEastAsia" w:hAnsiTheme="majorHAnsi" w:cstheme="majorBidi"/>
    </w:rPr>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pPr>
      <w:numPr>
        <w:ilvl w:val="1"/>
      </w:numPr>
    </w:pPr>
    <w:rPr>
      <w:sz w:val="28"/>
      <w:szCs w:val="28"/>
    </w:rPr>
  </w:style>
  <w:style w:type="character" w:customStyle="1" w:styleId="SubtitleChar">
    <w:name w:val="Subtitle Char"/>
    <w:basedOn w:val="DefaultParagraphFont"/>
    <w:link w:val="Subtitle"/>
    <w:uiPriority w:val="11"/>
    <w:rPr>
      <w:sz w:val="28"/>
      <w:szCs w:val="28"/>
    </w:rPr>
  </w:style>
  <w:style w:type="character" w:styleId="SubtleEmphasis">
    <w:name w:val="Subtle Emphasis"/>
    <w:basedOn w:val="DefaultParagraphFont"/>
    <w:uiPriority w:val="19"/>
    <w:qFormat/>
    <w:rPr>
      <w:i/>
      <w:iCs/>
      <w:color w:val="595959" w:themeColor="text1" w:themeTint="A6"/>
    </w:rPr>
  </w:style>
  <w:style w:type="character" w:styleId="SubtleReference">
    <w:name w:val="Subtle Reference"/>
    <w:basedOn w:val="DefaultParagraphFont"/>
    <w:uiPriority w:val="31"/>
    <w:qFormat/>
    <w:rPr>
      <w:caps w:val="0"/>
      <w:smallCaps/>
      <w:color w:val="404040" w:themeColor="text1" w:themeTint="BF"/>
      <w:u w:val="single" w:color="7F7F7F" w:themeColor="text1" w:themeTint="80"/>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olor w:val="B01513" w:themeColor="accent1"/>
      <w:kern w:val="28"/>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olor w:val="B01513" w:themeColor="accent1"/>
      <w:kern w:val="28"/>
      <w:sz w:val="72"/>
      <w:szCs w:val="72"/>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sid w:val="006D6E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EB9"/>
    <w:rPr>
      <w:rFonts w:ascii="Tahoma" w:hAnsi="Tahoma" w:cs="Tahoma"/>
      <w:sz w:val="16"/>
      <w:szCs w:val="16"/>
    </w:rPr>
  </w:style>
  <w:style w:type="paragraph" w:customStyle="1" w:styleId="MFNumLev3">
    <w:name w:val="MFNumLev3"/>
    <w:basedOn w:val="Normal"/>
    <w:rsid w:val="00CC3166"/>
    <w:pPr>
      <w:spacing w:after="240" w:line="240" w:lineRule="auto"/>
    </w:pPr>
    <w:rPr>
      <w:rFonts w:ascii="Arial" w:eastAsia="Times New Roman" w:hAnsi="Arial" w:cs="Times New Roman"/>
      <w:sz w:val="20"/>
      <w:szCs w:val="20"/>
      <w:lang w:val="en-IE" w:eastAsia="en-US"/>
    </w:rPr>
  </w:style>
  <w:style w:type="paragraph" w:styleId="NormalWeb">
    <w:name w:val="Normal (Web)"/>
    <w:basedOn w:val="Normal"/>
    <w:uiPriority w:val="99"/>
    <w:semiHidden/>
    <w:unhideWhenUsed/>
    <w:rsid w:val="00807A57"/>
    <w:pPr>
      <w:spacing w:before="100" w:beforeAutospacing="1" w:after="100" w:afterAutospacing="1" w:line="240" w:lineRule="auto"/>
    </w:pPr>
    <w:rPr>
      <w:rFonts w:ascii="Times New Roman"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6253751">
      <w:bodyDiv w:val="1"/>
      <w:marLeft w:val="0"/>
      <w:marRight w:val="0"/>
      <w:marTop w:val="0"/>
      <w:marBottom w:val="0"/>
      <w:divBdr>
        <w:top w:val="none" w:sz="0" w:space="0" w:color="auto"/>
        <w:left w:val="none" w:sz="0" w:space="0" w:color="auto"/>
        <w:bottom w:val="none" w:sz="0" w:space="0" w:color="auto"/>
        <w:right w:val="none" w:sz="0" w:space="0" w:color="auto"/>
      </w:divBdr>
      <w:divsChild>
        <w:div w:id="2060475424">
          <w:marLeft w:val="0"/>
          <w:marRight w:val="0"/>
          <w:marTop w:val="0"/>
          <w:marBottom w:val="0"/>
          <w:divBdr>
            <w:top w:val="none" w:sz="0" w:space="0" w:color="auto"/>
            <w:left w:val="none" w:sz="0" w:space="0" w:color="auto"/>
            <w:bottom w:val="none" w:sz="0" w:space="0" w:color="auto"/>
            <w:right w:val="none" w:sz="0" w:space="0" w:color="auto"/>
          </w:divBdr>
          <w:divsChild>
            <w:div w:id="1224876651">
              <w:marLeft w:val="0"/>
              <w:marRight w:val="0"/>
              <w:marTop w:val="0"/>
              <w:marBottom w:val="0"/>
              <w:divBdr>
                <w:top w:val="none" w:sz="0" w:space="0" w:color="auto"/>
                <w:left w:val="none" w:sz="0" w:space="0" w:color="auto"/>
                <w:bottom w:val="none" w:sz="0" w:space="0" w:color="auto"/>
                <w:right w:val="none" w:sz="0" w:space="0" w:color="auto"/>
              </w:divBdr>
              <w:divsChild>
                <w:div w:id="99850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57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hart" Target="charts/chart2.xml"/><Relationship Id="rId5" Type="http://schemas.openxmlformats.org/officeDocument/2006/relationships/styles" Target="styles.xml"/><Relationship Id="rId15" Type="http://schemas.openxmlformats.org/officeDocument/2006/relationships/image" Target="media/image2.jpg"/><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image" Target="media/image1.jpg"/><Relationship Id="rId14" Type="http://schemas.openxmlformats.org/officeDocument/2006/relationships/chart" Target="charts/chart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a\AppData\Roaming\Microsoft\Templates\Ion%20design%20(blank).dotx"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File%20Structure\2015\Client%20Registration\2015%20Client%20Registration.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File%20Structure\2015\Client%20Registration\2015%20Client%20Registra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File%20Structure\2014\Statistics\Clients%202014%20analysi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File%20Structure\2014\Mater\2014%20Mater%20Referrals.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File%20Structure\2014\Beaumont%20Statistics\Oct-%20Dec%202014%20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IE"/>
  <c:roundedCorners val="0"/>
  <mc:AlternateContent xmlns:mc="http://schemas.openxmlformats.org/markup-compatibility/2006">
    <mc:Choice xmlns:c14="http://schemas.microsoft.com/office/drawing/2007/8/2/chart" Requires="c14">
      <c14:style val="102"/>
    </mc:Choice>
    <mc:Fallback>
      <c:style val="2"/>
    </mc:Fallback>
  </mc:AlternateContent>
  <c:pivotSource>
    <c:name>[2015 Client Registration.xlsx]Pivots List!PivotTable2</c:name>
    <c:fmtId val="-1"/>
  </c:pivotSource>
  <c:chart>
    <c:autoTitleDeleted val="0"/>
    <c:pivotFmts>
      <c:pivotFmt>
        <c:idx val="0"/>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1"/>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2"/>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3"/>
        <c:dLbl>
          <c:idx val="0"/>
          <c:tx>
            <c:rich>
              <a:bodyPr/>
              <a:lstStyle/>
              <a:p>
                <a:r>
                  <a:rPr lang="en-US"/>
                  <a:t>59%</a:t>
                </a:r>
              </a:p>
            </c:rich>
          </c:tx>
          <c:showLegendKey val="0"/>
          <c:showVal val="1"/>
          <c:showCatName val="0"/>
          <c:showSerName val="0"/>
          <c:showPercent val="0"/>
          <c:showBubbleSize val="0"/>
        </c:dLbl>
      </c:pivotFmt>
      <c:pivotFmt>
        <c:idx val="4"/>
        <c:dLbl>
          <c:idx val="0"/>
          <c:tx>
            <c:rich>
              <a:bodyPr/>
              <a:lstStyle/>
              <a:p>
                <a:r>
                  <a:rPr lang="en-US"/>
                  <a:t>44%</a:t>
                </a:r>
              </a:p>
            </c:rich>
          </c:tx>
          <c:showLegendKey val="0"/>
          <c:showVal val="1"/>
          <c:showCatName val="0"/>
          <c:showSerName val="0"/>
          <c:showPercent val="0"/>
          <c:showBubbleSize val="0"/>
        </c:dLbl>
      </c:pivotFmt>
      <c:pivotFmt>
        <c:idx val="5"/>
        <c:dLbl>
          <c:idx val="0"/>
          <c:tx>
            <c:rich>
              <a:bodyPr/>
              <a:lstStyle/>
              <a:p>
                <a:r>
                  <a:rPr lang="en-US"/>
                  <a:t>56%</a:t>
                </a:r>
              </a:p>
            </c:rich>
          </c:tx>
          <c:showLegendKey val="0"/>
          <c:showVal val="1"/>
          <c:showCatName val="0"/>
          <c:showSerName val="0"/>
          <c:showPercent val="0"/>
          <c:showBubbleSize val="0"/>
        </c:dLbl>
      </c:pivotFmt>
      <c:pivotFmt>
        <c:idx val="6"/>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7"/>
        <c:dLbl>
          <c:idx val="0"/>
          <c:tx>
            <c:rich>
              <a:bodyPr/>
              <a:lstStyle/>
              <a:p>
                <a:r>
                  <a:rPr lang="en-US"/>
                  <a:t>59%</a:t>
                </a:r>
              </a:p>
            </c:rich>
          </c:tx>
          <c:showLegendKey val="0"/>
          <c:showVal val="1"/>
          <c:showCatName val="0"/>
          <c:showSerName val="0"/>
          <c:showPercent val="0"/>
          <c:showBubbleSize val="0"/>
        </c:dLbl>
      </c:pivotFmt>
      <c:pivotFmt>
        <c:idx val="8"/>
        <c:dLbl>
          <c:idx val="0"/>
          <c:tx>
            <c:rich>
              <a:bodyPr/>
              <a:lstStyle/>
              <a:p>
                <a:r>
                  <a:rPr lang="en-US"/>
                  <a:t>56%</a:t>
                </a:r>
              </a:p>
            </c:rich>
          </c:tx>
          <c:showLegendKey val="0"/>
          <c:showVal val="1"/>
          <c:showCatName val="0"/>
          <c:showSerName val="0"/>
          <c:showPercent val="0"/>
          <c:showBubbleSize val="0"/>
        </c:dLbl>
      </c:pivotFmt>
      <c:pivotFmt>
        <c:idx val="9"/>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10"/>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11"/>
        <c:dLbl>
          <c:idx val="0"/>
          <c:tx>
            <c:rich>
              <a:bodyPr/>
              <a:lstStyle/>
              <a:p>
                <a:r>
                  <a:rPr lang="en-US"/>
                  <a:t>44%</a:t>
                </a:r>
              </a:p>
            </c:rich>
          </c:tx>
          <c:showLegendKey val="0"/>
          <c:showVal val="1"/>
          <c:showCatName val="0"/>
          <c:showSerName val="0"/>
          <c:showPercent val="0"/>
          <c:showBubbleSize val="0"/>
        </c:dLbl>
      </c:pivotFmt>
      <c:pivotFmt>
        <c:idx val="12"/>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13"/>
        <c:dLbl>
          <c:idx val="0"/>
          <c:tx>
            <c:rich>
              <a:bodyPr/>
              <a:lstStyle/>
              <a:p>
                <a:r>
                  <a:rPr lang="en-US"/>
                  <a:t>59%</a:t>
                </a:r>
              </a:p>
            </c:rich>
          </c:tx>
          <c:showLegendKey val="0"/>
          <c:showVal val="1"/>
          <c:showCatName val="0"/>
          <c:showSerName val="0"/>
          <c:showPercent val="0"/>
          <c:showBubbleSize val="0"/>
        </c:dLbl>
      </c:pivotFmt>
      <c:pivotFmt>
        <c:idx val="14"/>
        <c:dLbl>
          <c:idx val="0"/>
          <c:tx>
            <c:rich>
              <a:bodyPr/>
              <a:lstStyle/>
              <a:p>
                <a:r>
                  <a:rPr lang="en-US"/>
                  <a:t>56%</a:t>
                </a:r>
              </a:p>
            </c:rich>
          </c:tx>
          <c:showLegendKey val="0"/>
          <c:showVal val="1"/>
          <c:showCatName val="0"/>
          <c:showSerName val="0"/>
          <c:showPercent val="0"/>
          <c:showBubbleSize val="0"/>
        </c:dLbl>
      </c:pivotFmt>
      <c:pivotFmt>
        <c:idx val="15"/>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16"/>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17"/>
        <c:dLbl>
          <c:idx val="0"/>
          <c:tx>
            <c:rich>
              <a:bodyPr/>
              <a:lstStyle/>
              <a:p>
                <a:r>
                  <a:rPr lang="en-US"/>
                  <a:t>44%</a:t>
                </a:r>
              </a:p>
            </c:rich>
          </c:tx>
          <c:showLegendKey val="0"/>
          <c:showVal val="1"/>
          <c:showCatName val="0"/>
          <c:showSerName val="0"/>
          <c:showPercent val="0"/>
          <c:showBubbleSize val="0"/>
        </c:dLbl>
      </c:pivotFmt>
      <c:pivotFmt>
        <c:idx val="18"/>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19"/>
        <c:dLbl>
          <c:idx val="0"/>
          <c:tx>
            <c:rich>
              <a:bodyPr/>
              <a:lstStyle/>
              <a:p>
                <a:r>
                  <a:rPr lang="en-US"/>
                  <a:t>59%</a:t>
                </a:r>
              </a:p>
            </c:rich>
          </c:tx>
          <c:showLegendKey val="0"/>
          <c:showVal val="1"/>
          <c:showCatName val="0"/>
          <c:showSerName val="0"/>
          <c:showPercent val="0"/>
          <c:showBubbleSize val="0"/>
        </c:dLbl>
      </c:pivotFmt>
      <c:pivotFmt>
        <c:idx val="20"/>
        <c:dLbl>
          <c:idx val="0"/>
          <c:tx>
            <c:rich>
              <a:bodyPr/>
              <a:lstStyle/>
              <a:p>
                <a:r>
                  <a:rPr lang="en-US"/>
                  <a:t>56%</a:t>
                </a:r>
              </a:p>
            </c:rich>
          </c:tx>
          <c:showLegendKey val="0"/>
          <c:showVal val="1"/>
          <c:showCatName val="0"/>
          <c:showSerName val="0"/>
          <c:showPercent val="0"/>
          <c:showBubbleSize val="0"/>
        </c:dLbl>
      </c:pivotFmt>
      <c:pivotFmt>
        <c:idx val="21"/>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22"/>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23"/>
        <c:dLbl>
          <c:idx val="0"/>
          <c:tx>
            <c:rich>
              <a:bodyPr/>
              <a:lstStyle/>
              <a:p>
                <a:r>
                  <a:rPr lang="en-US"/>
                  <a:t>44%</a:t>
                </a:r>
              </a:p>
            </c:rich>
          </c:tx>
          <c:showLegendKey val="0"/>
          <c:showVal val="1"/>
          <c:showCatName val="0"/>
          <c:showSerName val="0"/>
          <c:showPercent val="0"/>
          <c:showBubbleSize val="0"/>
        </c:dLbl>
      </c:pivotFmt>
      <c:pivotFmt>
        <c:idx val="24"/>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25"/>
        <c:dLbl>
          <c:idx val="0"/>
          <c:tx>
            <c:rich>
              <a:bodyPr/>
              <a:lstStyle/>
              <a:p>
                <a:r>
                  <a:rPr lang="en-US"/>
                  <a:t>59%</a:t>
                </a:r>
              </a:p>
            </c:rich>
          </c:tx>
          <c:showLegendKey val="0"/>
          <c:showVal val="1"/>
          <c:showCatName val="0"/>
          <c:showSerName val="0"/>
          <c:showPercent val="0"/>
          <c:showBubbleSize val="0"/>
        </c:dLbl>
      </c:pivotFmt>
      <c:pivotFmt>
        <c:idx val="26"/>
        <c:dLbl>
          <c:idx val="0"/>
          <c:tx>
            <c:rich>
              <a:bodyPr/>
              <a:lstStyle/>
              <a:p>
                <a:r>
                  <a:rPr lang="en-US"/>
                  <a:t>56%</a:t>
                </a:r>
              </a:p>
            </c:rich>
          </c:tx>
          <c:showLegendKey val="0"/>
          <c:showVal val="1"/>
          <c:showCatName val="0"/>
          <c:showSerName val="0"/>
          <c:showPercent val="0"/>
          <c:showBubbleSize val="0"/>
        </c:dLbl>
      </c:pivotFmt>
      <c:pivotFmt>
        <c:idx val="27"/>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28"/>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29"/>
        <c:dLbl>
          <c:idx val="0"/>
          <c:tx>
            <c:rich>
              <a:bodyPr/>
              <a:lstStyle/>
              <a:p>
                <a:r>
                  <a:rPr lang="en-US"/>
                  <a:t>44%</a:t>
                </a:r>
              </a:p>
            </c:rich>
          </c:tx>
          <c:showLegendKey val="0"/>
          <c:showVal val="1"/>
          <c:showCatName val="0"/>
          <c:showSerName val="0"/>
          <c:showPercent val="0"/>
          <c:showBubbleSize val="0"/>
        </c:dLbl>
      </c:pivotFmt>
      <c:pivotFmt>
        <c:idx val="30"/>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31"/>
        <c:dLbl>
          <c:idx val="0"/>
          <c:tx>
            <c:rich>
              <a:bodyPr/>
              <a:lstStyle/>
              <a:p>
                <a:r>
                  <a:rPr lang="en-US"/>
                  <a:t>59%</a:t>
                </a:r>
              </a:p>
            </c:rich>
          </c:tx>
          <c:showLegendKey val="0"/>
          <c:showVal val="1"/>
          <c:showCatName val="0"/>
          <c:showSerName val="0"/>
          <c:showPercent val="0"/>
          <c:showBubbleSize val="0"/>
        </c:dLbl>
      </c:pivotFmt>
      <c:pivotFmt>
        <c:idx val="32"/>
        <c:dLbl>
          <c:idx val="0"/>
          <c:tx>
            <c:rich>
              <a:bodyPr/>
              <a:lstStyle/>
              <a:p>
                <a:r>
                  <a:rPr lang="en-US"/>
                  <a:t>56%</a:t>
                </a:r>
              </a:p>
            </c:rich>
          </c:tx>
          <c:showLegendKey val="0"/>
          <c:showVal val="1"/>
          <c:showCatName val="0"/>
          <c:showSerName val="0"/>
          <c:showPercent val="0"/>
          <c:showBubbleSize val="0"/>
        </c:dLbl>
      </c:pivotFmt>
      <c:pivotFmt>
        <c:idx val="33"/>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34"/>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35"/>
        <c:dLbl>
          <c:idx val="0"/>
          <c:tx>
            <c:rich>
              <a:bodyPr/>
              <a:lstStyle/>
              <a:p>
                <a:r>
                  <a:rPr lang="en-US"/>
                  <a:t>44%</a:t>
                </a:r>
              </a:p>
            </c:rich>
          </c:tx>
          <c:showLegendKey val="0"/>
          <c:showVal val="1"/>
          <c:showCatName val="0"/>
          <c:showSerName val="0"/>
          <c:showPercent val="0"/>
          <c:showBubbleSize val="0"/>
        </c:dLbl>
      </c:pivotFmt>
      <c:pivotFmt>
        <c:idx val="36"/>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37"/>
        <c:dLbl>
          <c:idx val="0"/>
          <c:tx>
            <c:rich>
              <a:bodyPr/>
              <a:lstStyle/>
              <a:p>
                <a:r>
                  <a:rPr lang="en-US"/>
                  <a:t>59%</a:t>
                </a:r>
              </a:p>
            </c:rich>
          </c:tx>
          <c:showLegendKey val="0"/>
          <c:showVal val="1"/>
          <c:showCatName val="0"/>
          <c:showSerName val="0"/>
          <c:showPercent val="0"/>
          <c:showBubbleSize val="0"/>
        </c:dLbl>
      </c:pivotFmt>
      <c:pivotFmt>
        <c:idx val="38"/>
        <c:dLbl>
          <c:idx val="0"/>
          <c:tx>
            <c:rich>
              <a:bodyPr/>
              <a:lstStyle/>
              <a:p>
                <a:r>
                  <a:rPr lang="en-US"/>
                  <a:t>56%</a:t>
                </a:r>
              </a:p>
            </c:rich>
          </c:tx>
          <c:showLegendKey val="0"/>
          <c:showVal val="1"/>
          <c:showCatName val="0"/>
          <c:showSerName val="0"/>
          <c:showPercent val="0"/>
          <c:showBubbleSize val="0"/>
        </c:dLbl>
      </c:pivotFmt>
      <c:pivotFmt>
        <c:idx val="39"/>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40"/>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41"/>
        <c:dLbl>
          <c:idx val="0"/>
          <c:tx>
            <c:rich>
              <a:bodyPr/>
              <a:lstStyle/>
              <a:p>
                <a:r>
                  <a:rPr lang="en-US"/>
                  <a:t>44%</a:t>
                </a:r>
              </a:p>
            </c:rich>
          </c:tx>
          <c:showLegendKey val="0"/>
          <c:showVal val="1"/>
          <c:showCatName val="0"/>
          <c:showSerName val="0"/>
          <c:showPercent val="0"/>
          <c:showBubbleSize val="0"/>
        </c:dLbl>
      </c:pivotFmt>
      <c:pivotFmt>
        <c:idx val="42"/>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43"/>
        <c:dLbl>
          <c:idx val="0"/>
          <c:tx>
            <c:rich>
              <a:bodyPr/>
              <a:lstStyle/>
              <a:p>
                <a:r>
                  <a:rPr lang="en-US"/>
                  <a:t>59%</a:t>
                </a:r>
              </a:p>
            </c:rich>
          </c:tx>
          <c:showLegendKey val="0"/>
          <c:showVal val="1"/>
          <c:showCatName val="0"/>
          <c:showSerName val="0"/>
          <c:showPercent val="0"/>
          <c:showBubbleSize val="0"/>
        </c:dLbl>
      </c:pivotFmt>
      <c:pivotFmt>
        <c:idx val="44"/>
        <c:dLbl>
          <c:idx val="0"/>
          <c:tx>
            <c:rich>
              <a:bodyPr/>
              <a:lstStyle/>
              <a:p>
                <a:r>
                  <a:rPr lang="en-US"/>
                  <a:t>56%</a:t>
                </a:r>
              </a:p>
            </c:rich>
          </c:tx>
          <c:showLegendKey val="0"/>
          <c:showVal val="1"/>
          <c:showCatName val="0"/>
          <c:showSerName val="0"/>
          <c:showPercent val="0"/>
          <c:showBubbleSize val="0"/>
        </c:dLbl>
      </c:pivotFmt>
      <c:pivotFmt>
        <c:idx val="45"/>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46"/>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47"/>
        <c:dLbl>
          <c:idx val="0"/>
          <c:tx>
            <c:rich>
              <a:bodyPr/>
              <a:lstStyle/>
              <a:p>
                <a:r>
                  <a:rPr lang="en-US"/>
                  <a:t>44%</a:t>
                </a:r>
              </a:p>
            </c:rich>
          </c:tx>
          <c:showLegendKey val="0"/>
          <c:showVal val="1"/>
          <c:showCatName val="0"/>
          <c:showSerName val="0"/>
          <c:showPercent val="0"/>
          <c:showBubbleSize val="0"/>
        </c:dLbl>
      </c:pivotFmt>
      <c:pivotFmt>
        <c:idx val="48"/>
        <c:spPr>
          <a:solidFill>
            <a:srgbClr val="FFFF66"/>
          </a:solidFill>
        </c:spPr>
        <c:marker>
          <c:symbol val="none"/>
        </c:marker>
        <c:dLbl>
          <c:idx val="0"/>
          <c:numFmt formatCode="0%" sourceLinked="0"/>
          <c:spPr/>
          <c:txPr>
            <a:bodyPr/>
            <a:lstStyle/>
            <a:p>
              <a:pPr>
                <a:defRPr/>
              </a:pPr>
              <a:endParaRPr lang="en-US"/>
            </a:p>
          </c:txPr>
          <c:showLegendKey val="0"/>
          <c:showVal val="1"/>
          <c:showCatName val="0"/>
          <c:showSerName val="0"/>
          <c:showPercent val="0"/>
          <c:showBubbleSize val="0"/>
        </c:dLbl>
      </c:pivotFmt>
      <c:pivotFmt>
        <c:idx val="49"/>
        <c:dLbl>
          <c:idx val="0"/>
          <c:tx>
            <c:rich>
              <a:bodyPr/>
              <a:lstStyle/>
              <a:p>
                <a:r>
                  <a:rPr lang="en-US"/>
                  <a:t>59%</a:t>
                </a:r>
              </a:p>
            </c:rich>
          </c:tx>
          <c:showLegendKey val="0"/>
          <c:showVal val="1"/>
          <c:showCatName val="0"/>
          <c:showSerName val="0"/>
          <c:showPercent val="0"/>
          <c:showBubbleSize val="0"/>
        </c:dLbl>
      </c:pivotFmt>
      <c:pivotFmt>
        <c:idx val="50"/>
        <c:dLbl>
          <c:idx val="0"/>
          <c:tx>
            <c:rich>
              <a:bodyPr/>
              <a:lstStyle/>
              <a:p>
                <a:r>
                  <a:rPr lang="en-US"/>
                  <a:t>56%</a:t>
                </a:r>
              </a:p>
            </c:rich>
          </c:tx>
          <c:showLegendKey val="0"/>
          <c:showVal val="1"/>
          <c:showCatName val="0"/>
          <c:showSerName val="0"/>
          <c:showPercent val="0"/>
          <c:showBubbleSize val="0"/>
        </c:dLbl>
      </c:pivotFmt>
      <c:pivotFmt>
        <c:idx val="51"/>
        <c:spPr>
          <a:solidFill>
            <a:srgbClr val="00B050"/>
          </a:solidFill>
        </c:spPr>
        <c:marker>
          <c:symbol val="none"/>
        </c:marker>
        <c:dLbl>
          <c:idx val="0"/>
          <c:numFmt formatCode="0.00%" sourceLinked="0"/>
          <c:spPr/>
          <c:txPr>
            <a:bodyPr/>
            <a:lstStyle/>
            <a:p>
              <a:pPr>
                <a:defRPr/>
              </a:pPr>
              <a:endParaRPr lang="en-US"/>
            </a:p>
          </c:txPr>
          <c:showLegendKey val="0"/>
          <c:showVal val="1"/>
          <c:showCatName val="0"/>
          <c:showSerName val="0"/>
          <c:showPercent val="0"/>
          <c:showBubbleSize val="0"/>
        </c:dLbl>
      </c:pivotFmt>
      <c:pivotFmt>
        <c:idx val="52"/>
        <c:dLbl>
          <c:idx val="0"/>
          <c:tx>
            <c:rich>
              <a:bodyPr/>
              <a:lstStyle/>
              <a:p>
                <a:pPr>
                  <a:defRPr/>
                </a:pPr>
                <a:r>
                  <a:rPr lang="en-US"/>
                  <a:t>41%</a:t>
                </a:r>
              </a:p>
            </c:rich>
          </c:tx>
          <c:numFmt formatCode="0%" sourceLinked="0"/>
          <c:spPr/>
          <c:showLegendKey val="0"/>
          <c:showVal val="1"/>
          <c:showCatName val="0"/>
          <c:showSerName val="0"/>
          <c:showPercent val="0"/>
          <c:showBubbleSize val="0"/>
        </c:dLbl>
      </c:pivotFmt>
      <c:pivotFmt>
        <c:idx val="53"/>
        <c:dLbl>
          <c:idx val="0"/>
          <c:tx>
            <c:rich>
              <a:bodyPr/>
              <a:lstStyle/>
              <a:p>
                <a:r>
                  <a:rPr lang="en-US"/>
                  <a:t>44%</a:t>
                </a:r>
              </a:p>
            </c:rich>
          </c:tx>
          <c:showLegendKey val="0"/>
          <c:showVal val="1"/>
          <c:showCatName val="0"/>
          <c:showSerName val="0"/>
          <c:showPercent val="0"/>
          <c:showBubbleSize val="0"/>
        </c:dLbl>
      </c:pivotFmt>
    </c:pivotFmts>
    <c:plotArea>
      <c:layout>
        <c:manualLayout>
          <c:layoutTarget val="inner"/>
          <c:xMode val="edge"/>
          <c:yMode val="edge"/>
          <c:x val="8.607174103237096E-2"/>
          <c:y val="0.16021814393823341"/>
          <c:w val="0.80073381452318459"/>
          <c:h val="0.70057987887700812"/>
        </c:manualLayout>
      </c:layout>
      <c:barChart>
        <c:barDir val="col"/>
        <c:grouping val="clustered"/>
        <c:varyColors val="0"/>
        <c:ser>
          <c:idx val="0"/>
          <c:order val="0"/>
          <c:tx>
            <c:strRef>
              <c:f>'Pivots List'!$B$3:$B$4</c:f>
              <c:strCache>
                <c:ptCount val="1"/>
                <c:pt idx="0">
                  <c:v>F</c:v>
                </c:pt>
              </c:strCache>
            </c:strRef>
          </c:tx>
          <c:spPr>
            <a:gradFill>
              <a:gsLst>
                <a:gs pos="25000">
                  <a:schemeClr val="accent4">
                    <a:lumMod val="60000"/>
                    <a:lumOff val="40000"/>
                  </a:schemeClr>
                </a:gs>
                <a:gs pos="0">
                  <a:srgbClr val="00B050"/>
                </a:gs>
                <a:gs pos="100000">
                  <a:srgbClr val="92D050"/>
                </a:gs>
                <a:gs pos="100000">
                  <a:schemeClr val="accent1">
                    <a:tint val="23500"/>
                    <a:satMod val="160000"/>
                  </a:schemeClr>
                </a:gs>
              </a:gsLst>
              <a:lin ang="5400000" scaled="0"/>
            </a:gradFill>
          </c:spPr>
          <c:invertIfNegative val="0"/>
          <c:dLbls>
            <c:dLbl>
              <c:idx val="0"/>
              <c:tx>
                <c:rich>
                  <a:bodyPr/>
                  <a:lstStyle/>
                  <a:p>
                    <a:r>
                      <a:rPr lang="en-US"/>
                      <a:t>59%</a:t>
                    </a:r>
                  </a:p>
                </c:rich>
              </c:tx>
              <c:showLegendKey val="0"/>
              <c:showVal val="1"/>
              <c:showCatName val="0"/>
              <c:showSerName val="0"/>
              <c:showPercent val="0"/>
              <c:showBubbleSize val="0"/>
            </c:dLbl>
            <c:dLbl>
              <c:idx val="1"/>
              <c:tx>
                <c:rich>
                  <a:bodyPr/>
                  <a:lstStyle/>
                  <a:p>
                    <a:r>
                      <a:rPr lang="en-US"/>
                      <a:t>56%</a:t>
                    </a:r>
                  </a:p>
                </c:rich>
              </c:tx>
              <c:showLegendKey val="0"/>
              <c:showVal val="1"/>
              <c:showCatName val="0"/>
              <c:showSerName val="0"/>
              <c:showPercent val="0"/>
              <c:showBubbleSize val="0"/>
            </c:dLbl>
            <c:numFmt formatCode="0%" sourceLinked="0"/>
            <c:txPr>
              <a:bodyPr/>
              <a:lstStyle/>
              <a:p>
                <a:pPr>
                  <a:defRPr/>
                </a:pPr>
                <a:endParaRPr lang="en-US"/>
              </a:p>
            </c:txPr>
            <c:showLegendKey val="0"/>
            <c:showVal val="1"/>
            <c:showCatName val="0"/>
            <c:showSerName val="0"/>
            <c:showPercent val="0"/>
            <c:showBubbleSize val="0"/>
            <c:showLeaderLines val="0"/>
          </c:dLbls>
          <c:cat>
            <c:strRef>
              <c:f>'Pivots List'!$A$5:$A$7</c:f>
              <c:strCache>
                <c:ptCount val="2"/>
                <c:pt idx="0">
                  <c:v>2013</c:v>
                </c:pt>
                <c:pt idx="1">
                  <c:v>2014</c:v>
                </c:pt>
              </c:strCache>
            </c:strRef>
          </c:cat>
          <c:val>
            <c:numRef>
              <c:f>'Pivots List'!$B$5:$B$7</c:f>
              <c:numCache>
                <c:formatCode>General</c:formatCode>
                <c:ptCount val="2"/>
                <c:pt idx="0">
                  <c:v>44</c:v>
                </c:pt>
                <c:pt idx="1">
                  <c:v>71</c:v>
                </c:pt>
              </c:numCache>
            </c:numRef>
          </c:val>
        </c:ser>
        <c:ser>
          <c:idx val="1"/>
          <c:order val="1"/>
          <c:tx>
            <c:strRef>
              <c:f>'Pivots List'!$C$3:$C$4</c:f>
              <c:strCache>
                <c:ptCount val="1"/>
                <c:pt idx="0">
                  <c:v>M</c:v>
                </c:pt>
              </c:strCache>
            </c:strRef>
          </c:tx>
          <c:spPr>
            <a:gradFill>
              <a:gsLst>
                <a:gs pos="62110">
                  <a:srgbClr val="F9C7C6"/>
                </a:gs>
                <a:gs pos="91251">
                  <a:srgbClr val="F9C7C6"/>
                </a:gs>
                <a:gs pos="10425">
                  <a:schemeClr val="accent1">
                    <a:lumMod val="20000"/>
                    <a:lumOff val="80000"/>
                  </a:schemeClr>
                </a:gs>
                <a:gs pos="25000">
                  <a:schemeClr val="accent1">
                    <a:lumMod val="20000"/>
                    <a:lumOff val="80000"/>
                  </a:schemeClr>
                </a:gs>
                <a:gs pos="0">
                  <a:schemeClr val="accent1">
                    <a:lumMod val="20000"/>
                    <a:lumOff val="80000"/>
                  </a:schemeClr>
                </a:gs>
                <a:gs pos="95829">
                  <a:schemeClr val="accent1">
                    <a:lumMod val="20000"/>
                    <a:lumOff val="80000"/>
                  </a:schemeClr>
                </a:gs>
                <a:gs pos="87475">
                  <a:schemeClr val="accent1">
                    <a:lumMod val="40000"/>
                    <a:lumOff val="60000"/>
                  </a:schemeClr>
                </a:gs>
                <a:gs pos="100000">
                  <a:schemeClr val="accent1">
                    <a:lumMod val="20000"/>
                    <a:lumOff val="80000"/>
                  </a:schemeClr>
                </a:gs>
                <a:gs pos="100000">
                  <a:schemeClr val="accent1">
                    <a:tint val="23500"/>
                    <a:satMod val="160000"/>
                  </a:schemeClr>
                </a:gs>
              </a:gsLst>
              <a:lin ang="5400000" scaled="0"/>
            </a:gradFill>
          </c:spPr>
          <c:invertIfNegative val="0"/>
          <c:dLbls>
            <c:dLbl>
              <c:idx val="0"/>
              <c:tx>
                <c:rich>
                  <a:bodyPr/>
                  <a:lstStyle/>
                  <a:p>
                    <a:pPr>
                      <a:defRPr/>
                    </a:pPr>
                    <a:r>
                      <a:rPr lang="en-US"/>
                      <a:t>41%</a:t>
                    </a:r>
                  </a:p>
                </c:rich>
              </c:tx>
              <c:numFmt formatCode="0%" sourceLinked="0"/>
              <c:spPr/>
              <c:showLegendKey val="0"/>
              <c:showVal val="1"/>
              <c:showCatName val="0"/>
              <c:showSerName val="0"/>
              <c:showPercent val="0"/>
              <c:showBubbleSize val="0"/>
            </c:dLbl>
            <c:dLbl>
              <c:idx val="1"/>
              <c:tx>
                <c:rich>
                  <a:bodyPr/>
                  <a:lstStyle/>
                  <a:p>
                    <a:r>
                      <a:rPr lang="en-US"/>
                      <a:t>44%</a:t>
                    </a:r>
                  </a:p>
                </c:rich>
              </c:tx>
              <c:showLegendKey val="0"/>
              <c:showVal val="1"/>
              <c:showCatName val="0"/>
              <c:showSerName val="0"/>
              <c:showPercent val="0"/>
              <c:showBubbleSize val="0"/>
            </c:dLbl>
            <c:numFmt formatCode="0.00%" sourceLinked="0"/>
            <c:txPr>
              <a:bodyPr/>
              <a:lstStyle/>
              <a:p>
                <a:pPr>
                  <a:defRPr/>
                </a:pPr>
                <a:endParaRPr lang="en-US"/>
              </a:p>
            </c:txPr>
            <c:showLegendKey val="0"/>
            <c:showVal val="1"/>
            <c:showCatName val="0"/>
            <c:showSerName val="0"/>
            <c:showPercent val="0"/>
            <c:showBubbleSize val="0"/>
            <c:showLeaderLines val="0"/>
          </c:dLbls>
          <c:cat>
            <c:strRef>
              <c:f>'Pivots List'!$A$5:$A$7</c:f>
              <c:strCache>
                <c:ptCount val="2"/>
                <c:pt idx="0">
                  <c:v>2013</c:v>
                </c:pt>
                <c:pt idx="1">
                  <c:v>2014</c:v>
                </c:pt>
              </c:strCache>
            </c:strRef>
          </c:cat>
          <c:val>
            <c:numRef>
              <c:f>'Pivots List'!$C$5:$C$7</c:f>
              <c:numCache>
                <c:formatCode>General</c:formatCode>
                <c:ptCount val="2"/>
                <c:pt idx="0">
                  <c:v>31</c:v>
                </c:pt>
                <c:pt idx="1">
                  <c:v>55</c:v>
                </c:pt>
              </c:numCache>
            </c:numRef>
          </c:val>
        </c:ser>
        <c:dLbls>
          <c:showLegendKey val="0"/>
          <c:showVal val="0"/>
          <c:showCatName val="0"/>
          <c:showSerName val="0"/>
          <c:showPercent val="0"/>
          <c:showBubbleSize val="0"/>
        </c:dLbls>
        <c:gapWidth val="150"/>
        <c:axId val="234656512"/>
        <c:axId val="234658048"/>
      </c:barChart>
      <c:catAx>
        <c:axId val="234656512"/>
        <c:scaling>
          <c:orientation val="minMax"/>
        </c:scaling>
        <c:delete val="0"/>
        <c:axPos val="b"/>
        <c:majorTickMark val="out"/>
        <c:minorTickMark val="none"/>
        <c:tickLblPos val="nextTo"/>
        <c:crossAx val="234658048"/>
        <c:crosses val="autoZero"/>
        <c:auto val="1"/>
        <c:lblAlgn val="ctr"/>
        <c:lblOffset val="100"/>
        <c:noMultiLvlLbl val="0"/>
      </c:catAx>
      <c:valAx>
        <c:axId val="234658048"/>
        <c:scaling>
          <c:orientation val="minMax"/>
        </c:scaling>
        <c:delete val="0"/>
        <c:axPos val="l"/>
        <c:majorGridlines/>
        <c:numFmt formatCode="General" sourceLinked="1"/>
        <c:majorTickMark val="out"/>
        <c:minorTickMark val="none"/>
        <c:tickLblPos val="nextTo"/>
        <c:crossAx val="234656512"/>
        <c:crosses val="autoZero"/>
        <c:crossBetween val="between"/>
      </c:valAx>
    </c:plotArea>
    <c:legend>
      <c:legendPos val="r"/>
      <c:overlay val="0"/>
    </c:legend>
    <c:plotVisOnly val="1"/>
    <c:dispBlanksAs val="gap"/>
    <c:showDLblsOverMax val="0"/>
  </c:chart>
  <c:externalData r:id="rId1">
    <c:autoUpdate val="0"/>
  </c:externalData>
  <c:userShapes r:id="rId2"/>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I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Number of Referrals by Year</a:t>
            </a:r>
          </a:p>
        </c:rich>
      </c:tx>
      <c:overlay val="0"/>
    </c:title>
    <c:autoTitleDeleted val="0"/>
    <c:plotArea>
      <c:layout>
        <c:manualLayout>
          <c:layoutTarget val="inner"/>
          <c:xMode val="edge"/>
          <c:yMode val="edge"/>
          <c:x val="5.7905074365704287E-2"/>
          <c:y val="0.19432888597258677"/>
          <c:w val="0.86363692038495199"/>
          <c:h val="0.68969105424321964"/>
        </c:manualLayout>
      </c:layout>
      <c:barChart>
        <c:barDir val="bar"/>
        <c:grouping val="clustered"/>
        <c:varyColors val="0"/>
        <c:ser>
          <c:idx val="0"/>
          <c:order val="0"/>
          <c:tx>
            <c:strRef>
              <c:f>'Pivots List'!$B$18</c:f>
              <c:strCache>
                <c:ptCount val="1"/>
                <c:pt idx="0">
                  <c:v>Number of Referrals</c:v>
                </c:pt>
              </c:strCache>
            </c:strRef>
          </c:tx>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solidFill>
                <a:srgbClr val="00B050"/>
              </a:solidFill>
            </a:ln>
          </c:spPr>
          <c:invertIfNegative val="0"/>
          <c:dLbls>
            <c:txPr>
              <a:bodyPr/>
              <a:lstStyle/>
              <a:p>
                <a:pPr>
                  <a:defRPr sz="900"/>
                </a:pPr>
                <a:endParaRPr lang="en-US"/>
              </a:p>
            </c:txPr>
            <c:showLegendKey val="0"/>
            <c:showVal val="1"/>
            <c:showCatName val="0"/>
            <c:showSerName val="0"/>
            <c:showPercent val="0"/>
            <c:showBubbleSize val="0"/>
            <c:showLeaderLines val="0"/>
          </c:dLbls>
          <c:val>
            <c:numRef>
              <c:f>'Pivots List'!$B$19:$B$20</c:f>
              <c:numCache>
                <c:formatCode>General</c:formatCode>
                <c:ptCount val="2"/>
                <c:pt idx="0">
                  <c:v>111</c:v>
                </c:pt>
                <c:pt idx="1">
                  <c:v>184</c:v>
                </c:pt>
              </c:numCache>
            </c:numRef>
          </c:val>
        </c:ser>
        <c:dLbls>
          <c:showLegendKey val="0"/>
          <c:showVal val="0"/>
          <c:showCatName val="0"/>
          <c:showSerName val="0"/>
          <c:showPercent val="0"/>
          <c:showBubbleSize val="0"/>
        </c:dLbls>
        <c:gapWidth val="150"/>
        <c:axId val="235223680"/>
        <c:axId val="149496192"/>
      </c:barChart>
      <c:catAx>
        <c:axId val="235223680"/>
        <c:scaling>
          <c:orientation val="minMax"/>
        </c:scaling>
        <c:delete val="0"/>
        <c:axPos val="l"/>
        <c:majorTickMark val="out"/>
        <c:minorTickMark val="none"/>
        <c:tickLblPos val="nextTo"/>
        <c:crossAx val="149496192"/>
        <c:crosses val="autoZero"/>
        <c:auto val="1"/>
        <c:lblAlgn val="ctr"/>
        <c:lblOffset val="100"/>
        <c:noMultiLvlLbl val="0"/>
      </c:catAx>
      <c:valAx>
        <c:axId val="149496192"/>
        <c:scaling>
          <c:orientation val="minMax"/>
        </c:scaling>
        <c:delete val="0"/>
        <c:axPos val="b"/>
        <c:majorGridlines/>
        <c:numFmt formatCode="General" sourceLinked="1"/>
        <c:majorTickMark val="out"/>
        <c:minorTickMark val="none"/>
        <c:tickLblPos val="nextTo"/>
        <c:crossAx val="235223680"/>
        <c:crosses val="autoZero"/>
        <c:crossBetween val="between"/>
      </c:valAx>
    </c:plotArea>
    <c:legend>
      <c:legendPos val="r"/>
      <c:layout>
        <c:manualLayout>
          <c:xMode val="edge"/>
          <c:yMode val="edge"/>
          <c:x val="0.56090551181102366"/>
          <c:y val="0.72195866141732279"/>
          <c:w val="0.31131671041119863"/>
          <c:h val="0.12354768153980752"/>
        </c:manualLayout>
      </c:layout>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IE"/>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3622922134733159"/>
          <c:y val="2.3255806855946148E-2"/>
        </c:manualLayout>
      </c:layout>
      <c:overlay val="0"/>
      <c:txPr>
        <a:bodyPr/>
        <a:lstStyle/>
        <a:p>
          <a:pPr>
            <a:defRPr>
              <a:solidFill>
                <a:srgbClr val="00B050"/>
              </a:solidFill>
            </a:defRPr>
          </a:pPr>
          <a:endParaRPr lang="en-US"/>
        </a:p>
      </c:txPr>
    </c:title>
    <c:autoTitleDeleted val="0"/>
    <c:plotArea>
      <c:layout/>
      <c:pieChart>
        <c:varyColors val="1"/>
        <c:ser>
          <c:idx val="0"/>
          <c:order val="0"/>
          <c:tx>
            <c:strRef>
              <c:f>'Annual Report Pivots'!$I$3</c:f>
              <c:strCache>
                <c:ptCount val="1"/>
                <c:pt idx="0">
                  <c:v>Attendance at Service 2013 2014</c:v>
                </c:pt>
              </c:strCache>
            </c:strRef>
          </c:tx>
          <c:dLbls>
            <c:showLegendKey val="0"/>
            <c:showVal val="1"/>
            <c:showCatName val="0"/>
            <c:showSerName val="0"/>
            <c:showPercent val="0"/>
            <c:showBubbleSize val="0"/>
            <c:showLeaderLines val="1"/>
          </c:dLbls>
          <c:cat>
            <c:strRef>
              <c:f>'Annual Report Pivots'!$H$4:$H$10</c:f>
              <c:strCache>
                <c:ptCount val="7"/>
                <c:pt idx="0">
                  <c:v>Aftercare</c:v>
                </c:pt>
                <c:pt idx="1">
                  <c:v>Breakfast Club</c:v>
                </c:pt>
                <c:pt idx="2">
                  <c:v>Concerned Persons</c:v>
                </c:pt>
                <c:pt idx="3">
                  <c:v>Family Meeting</c:v>
                </c:pt>
                <c:pt idx="4">
                  <c:v>Individual</c:v>
                </c:pt>
                <c:pt idx="5">
                  <c:v>Psychoeducation Group</c:v>
                </c:pt>
                <c:pt idx="6">
                  <c:v>Treatment Group</c:v>
                </c:pt>
              </c:strCache>
            </c:strRef>
          </c:cat>
          <c:val>
            <c:numRef>
              <c:f>'Annual Report Pivots'!$I$4:$I$10</c:f>
              <c:numCache>
                <c:formatCode>0%</c:formatCode>
                <c:ptCount val="7"/>
                <c:pt idx="0">
                  <c:v>0.15650463613374543</c:v>
                </c:pt>
                <c:pt idx="1">
                  <c:v>8.4293340826074748E-3</c:v>
                </c:pt>
                <c:pt idx="2">
                  <c:v>7.3897162124192187E-2</c:v>
                </c:pt>
                <c:pt idx="3">
                  <c:v>8.4293340826074748E-3</c:v>
                </c:pt>
                <c:pt idx="4">
                  <c:v>0.25597077830851361</c:v>
                </c:pt>
                <c:pt idx="5">
                  <c:v>0.24332677718460241</c:v>
                </c:pt>
                <c:pt idx="6">
                  <c:v>0.25400393368923857</c:v>
                </c:pt>
              </c:numCache>
            </c:numRef>
          </c:val>
        </c:ser>
        <c:dLbls>
          <c:showLegendKey val="0"/>
          <c:showVal val="0"/>
          <c:showCatName val="0"/>
          <c:showSerName val="0"/>
          <c:showPercent val="0"/>
          <c:showBubbleSize val="0"/>
          <c:showLeaderLines val="1"/>
        </c:dLbls>
        <c:firstSliceAng val="0"/>
      </c:pieChart>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IE"/>
  <c:roundedCorners val="0"/>
  <mc:AlternateContent xmlns:mc="http://schemas.openxmlformats.org/markup-compatibility/2006">
    <mc:Choice xmlns:c14="http://schemas.microsoft.com/office/drawing/2007/8/2/chart" Requires="c14">
      <c14:style val="102"/>
    </mc:Choice>
    <mc:Fallback>
      <c:style val="2"/>
    </mc:Fallback>
  </mc:AlternateContent>
  <c:pivotSource>
    <c:name>[2014 Mater Referrals.xlsx]Referral from the Mater!PivotTable2</c:name>
    <c:fmtId val="-1"/>
  </c:pivotSource>
  <c:chart>
    <c:title>
      <c:tx>
        <c:rich>
          <a:bodyPr/>
          <a:lstStyle/>
          <a:p>
            <a:pPr>
              <a:defRPr>
                <a:solidFill>
                  <a:srgbClr val="00B050"/>
                </a:solidFill>
              </a:defRPr>
            </a:pPr>
            <a:r>
              <a:rPr lang="en-US">
                <a:solidFill>
                  <a:srgbClr val="00B050"/>
                </a:solidFill>
              </a:rPr>
              <a:t>71</a:t>
            </a:r>
            <a:r>
              <a:rPr lang="en-US" baseline="0">
                <a:solidFill>
                  <a:srgbClr val="00B050"/>
                </a:solidFill>
              </a:rPr>
              <a:t> Clients Referred  from Mater A&amp;E in 2014 - 24% uptake</a:t>
            </a:r>
            <a:endParaRPr lang="en-US">
              <a:solidFill>
                <a:srgbClr val="00B050"/>
              </a:solidFill>
            </a:endParaRPr>
          </a:p>
        </c:rich>
      </c:tx>
      <c:layout>
        <c:manualLayout>
          <c:xMode val="edge"/>
          <c:yMode val="edge"/>
          <c:x val="0.15041613147647659"/>
          <c:y val="2.7322589785117375E-2"/>
        </c:manualLayout>
      </c:layout>
      <c:overlay val="0"/>
    </c:title>
    <c:autoTitleDeleted val="0"/>
    <c:pivotFmts>
      <c:pivotFmt>
        <c:idx val="0"/>
        <c:marker>
          <c:symbol val="none"/>
        </c:marker>
        <c:dLbl>
          <c:idx val="0"/>
          <c:spPr/>
          <c:txPr>
            <a:bodyPr/>
            <a:lstStyle/>
            <a:p>
              <a:pPr>
                <a:defRPr/>
              </a:pPr>
              <a:endParaRPr lang="en-US"/>
            </a:p>
          </c:txPr>
          <c:showLegendKey val="0"/>
          <c:showVal val="1"/>
          <c:showCatName val="0"/>
          <c:showSerName val="0"/>
          <c:showPercent val="0"/>
          <c:showBubbleSize val="0"/>
        </c:dLbl>
      </c:pivotFmt>
      <c:pivotFmt>
        <c:idx val="1"/>
        <c:marker>
          <c:symbol val="none"/>
        </c:marker>
        <c:dLbl>
          <c:idx val="0"/>
          <c:spPr/>
          <c:txPr>
            <a:bodyPr/>
            <a:lstStyle/>
            <a:p>
              <a:pPr>
                <a:defRPr/>
              </a:pPr>
              <a:endParaRPr lang="en-US"/>
            </a:p>
          </c:txPr>
          <c:showLegendKey val="0"/>
          <c:showVal val="1"/>
          <c:showCatName val="0"/>
          <c:showSerName val="0"/>
          <c:showPercent val="0"/>
          <c:showBubbleSize val="0"/>
        </c:dLbl>
      </c:pivotFmt>
      <c:pivotFmt>
        <c:idx val="2"/>
        <c:marker>
          <c:symbol val="none"/>
        </c:marker>
        <c:dLbl>
          <c:idx val="0"/>
          <c:spPr/>
          <c:txPr>
            <a:bodyPr/>
            <a:lstStyle/>
            <a:p>
              <a:pPr>
                <a:defRPr/>
              </a:pPr>
              <a:endParaRPr lang="en-US"/>
            </a:p>
          </c:txPr>
          <c:showLegendKey val="0"/>
          <c:showVal val="1"/>
          <c:showCatName val="0"/>
          <c:showSerName val="0"/>
          <c:showPercent val="0"/>
          <c:showBubbleSize val="0"/>
        </c:dLbl>
      </c:pivotFmt>
      <c:pivotFmt>
        <c:idx val="3"/>
        <c:marker>
          <c:symbol val="none"/>
        </c:marker>
        <c:dLbl>
          <c:idx val="0"/>
          <c:spPr/>
          <c:txPr>
            <a:bodyPr/>
            <a:lstStyle/>
            <a:p>
              <a:pPr>
                <a:defRPr/>
              </a:pPr>
              <a:endParaRPr lang="en-US"/>
            </a:p>
          </c:txPr>
          <c:showLegendKey val="0"/>
          <c:showVal val="1"/>
          <c:showCatName val="0"/>
          <c:showSerName val="0"/>
          <c:showPercent val="0"/>
          <c:showBubbleSize val="0"/>
        </c:dLbl>
      </c:pivotFmt>
      <c:pivotFmt>
        <c:idx val="4"/>
        <c:marker>
          <c:symbol val="none"/>
        </c:marker>
        <c:dLbl>
          <c:idx val="0"/>
          <c:spPr/>
          <c:txPr>
            <a:bodyPr/>
            <a:lstStyle/>
            <a:p>
              <a:pPr>
                <a:defRPr/>
              </a:pPr>
              <a:endParaRPr lang="en-US"/>
            </a:p>
          </c:txPr>
          <c:showLegendKey val="0"/>
          <c:showVal val="1"/>
          <c:showCatName val="0"/>
          <c:showSerName val="0"/>
          <c:showPercent val="0"/>
          <c:showBubbleSize val="0"/>
        </c:dLbl>
      </c:pivotFmt>
    </c:pivotFmts>
    <c:plotArea>
      <c:layout>
        <c:manualLayout>
          <c:layoutTarget val="inner"/>
          <c:xMode val="edge"/>
          <c:yMode val="edge"/>
          <c:x val="7.1988407699037624E-2"/>
          <c:y val="0.27237058909302997"/>
          <c:w val="0.8555960192475941"/>
          <c:h val="0.4420678915135608"/>
        </c:manualLayout>
      </c:layout>
      <c:barChart>
        <c:barDir val="col"/>
        <c:grouping val="clustered"/>
        <c:varyColors val="0"/>
        <c:ser>
          <c:idx val="0"/>
          <c:order val="0"/>
          <c:tx>
            <c:strRef>
              <c:f>'Referral from the Mater'!$O$6</c:f>
              <c:strCache>
                <c:ptCount val="1"/>
                <c:pt idx="0">
                  <c:v>Total</c:v>
                </c:pt>
              </c:strCache>
            </c:strRef>
          </c:tx>
          <c:spPr>
            <a:gradFill>
              <a:gsLst>
                <a:gs pos="25000">
                  <a:schemeClr val="accent4">
                    <a:lumMod val="60000"/>
                    <a:lumOff val="40000"/>
                  </a:schemeClr>
                </a:gs>
                <a:gs pos="0">
                  <a:srgbClr val="00B050"/>
                </a:gs>
                <a:gs pos="100000">
                  <a:srgbClr val="92D050"/>
                </a:gs>
                <a:gs pos="100000">
                  <a:schemeClr val="accent1">
                    <a:tint val="23500"/>
                    <a:satMod val="160000"/>
                  </a:schemeClr>
                </a:gs>
              </a:gsLst>
              <a:lin ang="5400000" scaled="0"/>
            </a:gradFill>
          </c:spPr>
          <c:invertIfNegative val="0"/>
          <c:dLbls>
            <c:txPr>
              <a:bodyPr/>
              <a:lstStyle/>
              <a:p>
                <a:pPr>
                  <a:defRPr/>
                </a:pPr>
                <a:endParaRPr lang="en-US"/>
              </a:p>
            </c:txPr>
            <c:showLegendKey val="0"/>
            <c:showVal val="1"/>
            <c:showCatName val="0"/>
            <c:showSerName val="0"/>
            <c:showPercent val="0"/>
            <c:showBubbleSize val="0"/>
            <c:showLeaderLines val="0"/>
          </c:dLbls>
          <c:cat>
            <c:strRef>
              <c:f>'Referral from the Mater'!$N$7:$N$12</c:f>
              <c:strCache>
                <c:ptCount val="5"/>
                <c:pt idx="0">
                  <c:v>Brief Intervention by phone</c:v>
                </c:pt>
                <c:pt idx="1">
                  <c:v>Group</c:v>
                </c:pt>
                <c:pt idx="2">
                  <c:v>Individual</c:v>
                </c:pt>
                <c:pt idx="3">
                  <c:v>Phone message</c:v>
                </c:pt>
                <c:pt idx="4">
                  <c:v>Referred On</c:v>
                </c:pt>
              </c:strCache>
            </c:strRef>
          </c:cat>
          <c:val>
            <c:numRef>
              <c:f>'Referral from the Mater'!$O$7:$O$12</c:f>
              <c:numCache>
                <c:formatCode>General</c:formatCode>
                <c:ptCount val="5"/>
                <c:pt idx="0">
                  <c:v>35</c:v>
                </c:pt>
                <c:pt idx="1">
                  <c:v>8</c:v>
                </c:pt>
                <c:pt idx="2">
                  <c:v>3</c:v>
                </c:pt>
                <c:pt idx="3">
                  <c:v>19</c:v>
                </c:pt>
                <c:pt idx="4">
                  <c:v>6</c:v>
                </c:pt>
              </c:numCache>
            </c:numRef>
          </c:val>
        </c:ser>
        <c:dLbls>
          <c:showLegendKey val="0"/>
          <c:showVal val="0"/>
          <c:showCatName val="0"/>
          <c:showSerName val="0"/>
          <c:showPercent val="0"/>
          <c:showBubbleSize val="0"/>
        </c:dLbls>
        <c:gapWidth val="150"/>
        <c:axId val="235264256"/>
        <c:axId val="235356160"/>
      </c:barChart>
      <c:catAx>
        <c:axId val="235264256"/>
        <c:scaling>
          <c:orientation val="minMax"/>
        </c:scaling>
        <c:delete val="0"/>
        <c:axPos val="b"/>
        <c:majorTickMark val="out"/>
        <c:minorTickMark val="none"/>
        <c:tickLblPos val="nextTo"/>
        <c:crossAx val="235356160"/>
        <c:crosses val="autoZero"/>
        <c:auto val="1"/>
        <c:lblAlgn val="ctr"/>
        <c:lblOffset val="100"/>
        <c:noMultiLvlLbl val="0"/>
      </c:catAx>
      <c:valAx>
        <c:axId val="235356160"/>
        <c:scaling>
          <c:orientation val="minMax"/>
        </c:scaling>
        <c:delete val="0"/>
        <c:axPos val="l"/>
        <c:majorGridlines/>
        <c:numFmt formatCode="General" sourceLinked="1"/>
        <c:majorTickMark val="out"/>
        <c:minorTickMark val="none"/>
        <c:tickLblPos val="nextTo"/>
        <c:crossAx val="235264256"/>
        <c:crosses val="autoZero"/>
        <c:crossBetween val="between"/>
      </c:valAx>
    </c:plotArea>
    <c:legend>
      <c:legendPos val="r"/>
      <c:layout>
        <c:manualLayout>
          <c:xMode val="edge"/>
          <c:yMode val="edge"/>
          <c:x val="0.88261067463002651"/>
          <c:y val="0.84514319095275237"/>
          <c:w val="8.5227265053194862E-2"/>
          <c:h val="7.9023337248173092E-2"/>
        </c:manualLayout>
      </c:layout>
      <c:overlay val="0"/>
      <c:spPr>
        <a:ln>
          <a:solidFill>
            <a:srgbClr val="00B050"/>
          </a:solidFill>
        </a:ln>
      </c:spPr>
    </c:legend>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I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607174103237096E-2"/>
          <c:y val="0.18948024700795896"/>
          <c:w val="0.84695713035870512"/>
          <c:h val="0.71179981143133808"/>
        </c:manualLayout>
      </c:layout>
      <c:barChart>
        <c:barDir val="col"/>
        <c:grouping val="clustered"/>
        <c:varyColors val="0"/>
        <c:ser>
          <c:idx val="0"/>
          <c:order val="0"/>
          <c:tx>
            <c:strRef>
              <c:f>total!$T$6</c:f>
              <c:strCache>
                <c:ptCount val="1"/>
                <c:pt idx="0">
                  <c:v>Total 2014</c:v>
                </c:pt>
              </c:strCache>
            </c:strRef>
          </c:tx>
          <c:spPr>
            <a:solidFill>
              <a:srgbClr val="A0C4A4"/>
            </a:solidFill>
          </c:spPr>
          <c:invertIfNegative val="0"/>
          <c:dLbls>
            <c:showLegendKey val="0"/>
            <c:showVal val="1"/>
            <c:showCatName val="0"/>
            <c:showSerName val="0"/>
            <c:showPercent val="0"/>
            <c:showBubbleSize val="0"/>
            <c:showLeaderLines val="0"/>
          </c:dLbls>
          <c:cat>
            <c:strRef>
              <c:f>total!$U$5:$V$5</c:f>
              <c:strCache>
                <c:ptCount val="2"/>
                <c:pt idx="0">
                  <c:v>Attended Ait Linn</c:v>
                </c:pt>
                <c:pt idx="1">
                  <c:v>Referred From Beaumont</c:v>
                </c:pt>
              </c:strCache>
            </c:strRef>
          </c:cat>
          <c:val>
            <c:numRef>
              <c:f>total!$U$6:$V$6</c:f>
              <c:numCache>
                <c:formatCode>General</c:formatCode>
                <c:ptCount val="2"/>
                <c:pt idx="0">
                  <c:v>55</c:v>
                </c:pt>
                <c:pt idx="1">
                  <c:v>159</c:v>
                </c:pt>
              </c:numCache>
            </c:numRef>
          </c:val>
        </c:ser>
        <c:ser>
          <c:idx val="1"/>
          <c:order val="1"/>
          <c:tx>
            <c:strRef>
              <c:f>total!$T$7</c:f>
              <c:strCache>
                <c:ptCount val="1"/>
                <c:pt idx="0">
                  <c:v>Total 2013</c:v>
                </c:pt>
              </c:strCache>
            </c:strRef>
          </c:tx>
          <c:spPr>
            <a:solidFill>
              <a:srgbClr val="009900"/>
            </a:solidFill>
          </c:spPr>
          <c:invertIfNegative val="0"/>
          <c:dLbls>
            <c:showLegendKey val="0"/>
            <c:showVal val="1"/>
            <c:showCatName val="0"/>
            <c:showSerName val="0"/>
            <c:showPercent val="0"/>
            <c:showBubbleSize val="0"/>
            <c:showLeaderLines val="0"/>
          </c:dLbls>
          <c:cat>
            <c:strRef>
              <c:f>total!$U$5:$V$5</c:f>
              <c:strCache>
                <c:ptCount val="2"/>
                <c:pt idx="0">
                  <c:v>Attended Ait Linn</c:v>
                </c:pt>
                <c:pt idx="1">
                  <c:v>Referred From Beaumont</c:v>
                </c:pt>
              </c:strCache>
            </c:strRef>
          </c:cat>
          <c:val>
            <c:numRef>
              <c:f>total!$U$7:$V$7</c:f>
              <c:numCache>
                <c:formatCode>General</c:formatCode>
                <c:ptCount val="2"/>
                <c:pt idx="0">
                  <c:v>47</c:v>
                </c:pt>
                <c:pt idx="1">
                  <c:v>174</c:v>
                </c:pt>
              </c:numCache>
            </c:numRef>
          </c:val>
        </c:ser>
        <c:dLbls>
          <c:showLegendKey val="0"/>
          <c:showVal val="0"/>
          <c:showCatName val="0"/>
          <c:showSerName val="0"/>
          <c:showPercent val="0"/>
          <c:showBubbleSize val="0"/>
        </c:dLbls>
        <c:gapWidth val="150"/>
        <c:axId val="235365888"/>
        <c:axId val="235367424"/>
      </c:barChart>
      <c:catAx>
        <c:axId val="235365888"/>
        <c:scaling>
          <c:orientation val="minMax"/>
        </c:scaling>
        <c:delete val="0"/>
        <c:axPos val="b"/>
        <c:majorTickMark val="out"/>
        <c:minorTickMark val="none"/>
        <c:tickLblPos val="nextTo"/>
        <c:crossAx val="235367424"/>
        <c:crosses val="autoZero"/>
        <c:auto val="1"/>
        <c:lblAlgn val="ctr"/>
        <c:lblOffset val="100"/>
        <c:noMultiLvlLbl val="0"/>
      </c:catAx>
      <c:valAx>
        <c:axId val="235367424"/>
        <c:scaling>
          <c:orientation val="minMax"/>
        </c:scaling>
        <c:delete val="0"/>
        <c:axPos val="l"/>
        <c:majorGridlines/>
        <c:numFmt formatCode="General" sourceLinked="1"/>
        <c:majorTickMark val="out"/>
        <c:minorTickMark val="none"/>
        <c:tickLblPos val="nextTo"/>
        <c:crossAx val="235365888"/>
        <c:crosses val="autoZero"/>
        <c:crossBetween val="between"/>
      </c:valAx>
    </c:plotArea>
    <c:legend>
      <c:legendPos val="r"/>
      <c:layout>
        <c:manualLayout>
          <c:xMode val="edge"/>
          <c:yMode val="edge"/>
          <c:x val="0.26636220472440947"/>
          <c:y val="0.1959835105357593"/>
          <c:w val="0.38641557305336832"/>
          <c:h val="6.5440460719109125E-2"/>
        </c:manualLayout>
      </c:layout>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0.26042</cdr:x>
      <cdr:y>0.02431</cdr:y>
    </cdr:from>
    <cdr:to>
      <cdr:x>0.86875</cdr:x>
      <cdr:y>0.1284</cdr:y>
    </cdr:to>
    <cdr:sp macro="" textlink="">
      <cdr:nvSpPr>
        <cdr:cNvPr id="2" name="TextBox 1"/>
        <cdr:cNvSpPr txBox="1"/>
      </cdr:nvSpPr>
      <cdr:spPr>
        <a:xfrm xmlns:a="http://schemas.openxmlformats.org/drawingml/2006/main">
          <a:off x="1190625" y="59497"/>
          <a:ext cx="2781300" cy="25482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IE" sz="1100" b="1">
              <a:solidFill>
                <a:srgbClr val="00863D"/>
              </a:solidFill>
            </a:rPr>
            <a:t>Gender Breakdown</a:t>
          </a:r>
          <a:r>
            <a:rPr lang="en-IE" sz="1100" b="1" baseline="0">
              <a:solidFill>
                <a:srgbClr val="00863D"/>
              </a:solidFill>
            </a:rPr>
            <a:t> by Year of Service</a:t>
          </a:r>
          <a:endParaRPr lang="en-IE" sz="1100" b="1">
            <a:solidFill>
              <a:srgbClr val="00863D"/>
            </a:solidFill>
          </a:endParaRPr>
        </a:p>
      </cdr:txBody>
    </cdr:sp>
  </cdr:relSizeAnchor>
  <cdr:relSizeAnchor xmlns:cdr="http://schemas.openxmlformats.org/drawingml/2006/chartDrawing">
    <cdr:from>
      <cdr:x>0.26042</cdr:x>
      <cdr:y>0.02431</cdr:y>
    </cdr:from>
    <cdr:to>
      <cdr:x>0.86875</cdr:x>
      <cdr:y>0.1284</cdr:y>
    </cdr:to>
    <cdr:sp macro="" textlink="">
      <cdr:nvSpPr>
        <cdr:cNvPr id="3" name="TextBox 1"/>
        <cdr:cNvSpPr txBox="1"/>
      </cdr:nvSpPr>
      <cdr:spPr>
        <a:xfrm xmlns:a="http://schemas.openxmlformats.org/drawingml/2006/main">
          <a:off x="1190625" y="59497"/>
          <a:ext cx="2781300" cy="25482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IE" sz="1100" b="1">
              <a:solidFill>
                <a:srgbClr val="00863D"/>
              </a:solidFill>
            </a:rPr>
            <a:t>Gender Breakdown</a:t>
          </a:r>
          <a:r>
            <a:rPr lang="en-IE" sz="1100" b="1" baseline="0">
              <a:solidFill>
                <a:srgbClr val="00863D"/>
              </a:solidFill>
            </a:rPr>
            <a:t> by Year of Service</a:t>
          </a:r>
          <a:endParaRPr lang="en-IE" sz="1100" b="1">
            <a:solidFill>
              <a:srgbClr val="00863D"/>
            </a:solidFill>
          </a:endParaRPr>
        </a:p>
      </cdr:txBody>
    </cdr:sp>
  </cdr:relSizeAnchor>
  <cdr:relSizeAnchor xmlns:cdr="http://schemas.openxmlformats.org/drawingml/2006/chartDrawing">
    <cdr:from>
      <cdr:x>0.26042</cdr:x>
      <cdr:y>0.02431</cdr:y>
    </cdr:from>
    <cdr:to>
      <cdr:x>0.86875</cdr:x>
      <cdr:y>0.1284</cdr:y>
    </cdr:to>
    <cdr:sp macro="" textlink="">
      <cdr:nvSpPr>
        <cdr:cNvPr id="4" name="TextBox 1"/>
        <cdr:cNvSpPr txBox="1"/>
      </cdr:nvSpPr>
      <cdr:spPr>
        <a:xfrm xmlns:a="http://schemas.openxmlformats.org/drawingml/2006/main">
          <a:off x="1190625" y="59497"/>
          <a:ext cx="2781300" cy="25482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IE" sz="1100" b="1">
              <a:solidFill>
                <a:srgbClr val="00863D"/>
              </a:solidFill>
            </a:rPr>
            <a:t>Gender Breakdown</a:t>
          </a:r>
          <a:r>
            <a:rPr lang="en-IE" sz="1100" b="1" baseline="0">
              <a:solidFill>
                <a:srgbClr val="00863D"/>
              </a:solidFill>
            </a:rPr>
            <a:t> by Year of Service</a:t>
          </a:r>
          <a:endParaRPr lang="en-IE" sz="1100" b="1">
            <a:solidFill>
              <a:srgbClr val="00863D"/>
            </a:solidFill>
          </a:endParaRPr>
        </a:p>
      </cdr:txBody>
    </cdr:sp>
  </cdr:relSizeAnchor>
  <cdr:relSizeAnchor xmlns:cdr="http://schemas.openxmlformats.org/drawingml/2006/chartDrawing">
    <cdr:from>
      <cdr:x>0.26042</cdr:x>
      <cdr:y>0.02431</cdr:y>
    </cdr:from>
    <cdr:to>
      <cdr:x>0.86875</cdr:x>
      <cdr:y>0.1284</cdr:y>
    </cdr:to>
    <cdr:sp macro="" textlink="">
      <cdr:nvSpPr>
        <cdr:cNvPr id="5" name="TextBox 1"/>
        <cdr:cNvSpPr txBox="1"/>
      </cdr:nvSpPr>
      <cdr:spPr>
        <a:xfrm xmlns:a="http://schemas.openxmlformats.org/drawingml/2006/main">
          <a:off x="1190625" y="59497"/>
          <a:ext cx="2781300" cy="25482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IE" sz="1100" b="1">
              <a:solidFill>
                <a:srgbClr val="00863D"/>
              </a:solidFill>
            </a:rPr>
            <a:t>Gender Breakdown</a:t>
          </a:r>
          <a:r>
            <a:rPr lang="en-IE" sz="1100" b="1" baseline="0">
              <a:solidFill>
                <a:srgbClr val="00863D"/>
              </a:solidFill>
            </a:rPr>
            <a:t> by Year of Service</a:t>
          </a:r>
          <a:endParaRPr lang="en-IE" sz="1100" b="1">
            <a:solidFill>
              <a:srgbClr val="00863D"/>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0.36775</cdr:x>
      <cdr:y>0.29654</cdr:y>
    </cdr:from>
    <cdr:to>
      <cdr:x>0.56567</cdr:x>
      <cdr:y>0.38806</cdr:y>
    </cdr:to>
    <cdr:sp macro="" textlink="">
      <cdr:nvSpPr>
        <cdr:cNvPr id="2" name="TextBox 1"/>
        <cdr:cNvSpPr txBox="1"/>
      </cdr:nvSpPr>
      <cdr:spPr>
        <a:xfrm xmlns:a="http://schemas.openxmlformats.org/drawingml/2006/main">
          <a:off x="1681361" y="542310"/>
          <a:ext cx="904890" cy="16737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en-IE" sz="900"/>
            <a:t>2014</a:t>
          </a:r>
        </a:p>
      </cdr:txBody>
    </cdr:sp>
  </cdr:relSizeAnchor>
  <cdr:relSizeAnchor xmlns:cdr="http://schemas.openxmlformats.org/drawingml/2006/chartDrawing">
    <cdr:from>
      <cdr:x>0.20684</cdr:x>
      <cdr:y>0.6417</cdr:y>
    </cdr:from>
    <cdr:to>
      <cdr:x>0.40475</cdr:x>
      <cdr:y>0.70768</cdr:y>
    </cdr:to>
    <cdr:sp macro="" textlink="">
      <cdr:nvSpPr>
        <cdr:cNvPr id="3" name="TextBox 1"/>
        <cdr:cNvSpPr txBox="1"/>
      </cdr:nvSpPr>
      <cdr:spPr>
        <a:xfrm xmlns:a="http://schemas.openxmlformats.org/drawingml/2006/main">
          <a:off x="945657" y="1173543"/>
          <a:ext cx="904845" cy="12066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IE" sz="900"/>
            <a:t>2013</a:t>
          </a:r>
        </a:p>
      </cdr:txBody>
    </cdr:sp>
  </cdr:relSizeAnchor>
</c:userShapes>
</file>

<file path=word/drawings/drawing3.xml><?xml version="1.0" encoding="utf-8"?>
<c:userShapes xmlns:c="http://schemas.openxmlformats.org/drawingml/2006/chart">
  <cdr:relSizeAnchor xmlns:cdr="http://schemas.openxmlformats.org/drawingml/2006/chartDrawing">
    <cdr:from>
      <cdr:x>0.18125</cdr:x>
      <cdr:y>0.80791</cdr:y>
    </cdr:from>
    <cdr:to>
      <cdr:x>0.3</cdr:x>
      <cdr:y>0.87853</cdr:y>
    </cdr:to>
    <cdr:sp macro="" textlink="">
      <cdr:nvSpPr>
        <cdr:cNvPr id="2" name="TextBox 1"/>
        <cdr:cNvSpPr txBox="1"/>
      </cdr:nvSpPr>
      <cdr:spPr>
        <a:xfrm xmlns:a="http://schemas.openxmlformats.org/drawingml/2006/main">
          <a:off x="828675" y="2724150"/>
          <a:ext cx="542925" cy="23812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IE" sz="1100"/>
            <a:t>35%</a:t>
          </a:r>
        </a:p>
      </cdr:txBody>
    </cdr:sp>
  </cdr:relSizeAnchor>
  <cdr:relSizeAnchor xmlns:cdr="http://schemas.openxmlformats.org/drawingml/2006/chartDrawing">
    <cdr:from>
      <cdr:x>0.30486</cdr:x>
      <cdr:y>0.8145</cdr:y>
    </cdr:from>
    <cdr:to>
      <cdr:x>0.42361</cdr:x>
      <cdr:y>0.88512</cdr:y>
    </cdr:to>
    <cdr:sp macro="" textlink="">
      <cdr:nvSpPr>
        <cdr:cNvPr id="3" name="TextBox 1"/>
        <cdr:cNvSpPr txBox="1"/>
      </cdr:nvSpPr>
      <cdr:spPr>
        <a:xfrm xmlns:a="http://schemas.openxmlformats.org/drawingml/2006/main">
          <a:off x="1393825" y="2746375"/>
          <a:ext cx="542925" cy="23812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IE" sz="1100"/>
            <a:t>27%</a:t>
          </a:r>
        </a:p>
      </cdr:txBody>
    </cdr:sp>
  </cdr:relSizeAnchor>
  <cdr:relSizeAnchor xmlns:cdr="http://schemas.openxmlformats.org/drawingml/2006/chartDrawing">
    <cdr:from>
      <cdr:x>0.15833</cdr:x>
      <cdr:y>0.05932</cdr:y>
    </cdr:from>
    <cdr:to>
      <cdr:x>0.88333</cdr:x>
      <cdr:y>0.13842</cdr:y>
    </cdr:to>
    <cdr:sp macro="" textlink="">
      <cdr:nvSpPr>
        <cdr:cNvPr id="4" name="TextBox 3"/>
        <cdr:cNvSpPr txBox="1"/>
      </cdr:nvSpPr>
      <cdr:spPr>
        <a:xfrm xmlns:a="http://schemas.openxmlformats.org/drawingml/2006/main">
          <a:off x="723900" y="200026"/>
          <a:ext cx="3314700" cy="2667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en-IE" sz="1100"/>
        </a:p>
      </cdr:txBody>
    </cdr:sp>
  </cdr:relSizeAnchor>
  <cdr:relSizeAnchor xmlns:cdr="http://schemas.openxmlformats.org/drawingml/2006/chartDrawing">
    <cdr:from>
      <cdr:x>0.02987</cdr:x>
      <cdr:y>0.02834</cdr:y>
    </cdr:from>
    <cdr:to>
      <cdr:x>1</cdr:x>
      <cdr:y>0.16804</cdr:y>
    </cdr:to>
    <cdr:sp macro="" textlink="">
      <cdr:nvSpPr>
        <cdr:cNvPr id="5" name="TextBox 4"/>
        <cdr:cNvSpPr txBox="1"/>
      </cdr:nvSpPr>
      <cdr:spPr>
        <a:xfrm xmlns:a="http://schemas.openxmlformats.org/drawingml/2006/main">
          <a:off x="176938" y="95534"/>
          <a:ext cx="5745707" cy="470849"/>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square" rtlCol="0"/>
        <a:lstStyle xmlns:a="http://schemas.openxmlformats.org/drawingml/2006/main"/>
        <a:p xmlns:a="http://schemas.openxmlformats.org/drawingml/2006/main">
          <a:pPr algn="ctr"/>
          <a:r>
            <a:rPr lang="en-IE" sz="1400" b="1">
              <a:solidFill>
                <a:srgbClr val="00B050"/>
              </a:solidFill>
            </a:rPr>
            <a:t>Uptake from</a:t>
          </a:r>
          <a:r>
            <a:rPr lang="en-IE" sz="1400" b="1" baseline="0">
              <a:solidFill>
                <a:srgbClr val="00B050"/>
              </a:solidFill>
            </a:rPr>
            <a:t> Brief Intervention Clinic Beaumont  to Áit Linn </a:t>
          </a:r>
          <a:endParaRPr lang="en-IE" sz="1400" b="1">
            <a:solidFill>
              <a:srgbClr val="00B050"/>
            </a:solidFill>
          </a:endParaRPr>
        </a:p>
      </cdr:txBody>
    </cdr:sp>
  </cdr:relSizeAnchor>
</c:userShape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xmlns=""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2015-02-01T00:00:00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8D527A9-858A-4DE6-85D1-2C4E15415FCB}">
  <ds:schemaRefs>
    <ds:schemaRef ds:uri="http://schemas.microsoft.com/sharepoint/v3/contenttype/forms"/>
  </ds:schemaRefs>
</ds:datastoreItem>
</file>

<file path=customXml/itemProps3.xml><?xml version="1.0" encoding="utf-8"?>
<ds:datastoreItem xmlns:ds="http://schemas.openxmlformats.org/officeDocument/2006/customXml" ds:itemID="{3F5BA332-F85F-4D2F-BC9C-443EF55D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Ion design (blank)</Template>
  <TotalTime>0</TotalTime>
  <Pages>13</Pages>
  <Words>2623</Words>
  <Characters>14956</Characters>
  <Application>Microsoft Office Word</Application>
  <DocSecurity>0</DocSecurity>
  <Lines>124</Lines>
  <Paragraphs>35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Cumulative Annual Reports 2012-2014</vt:lpstr>
      <vt:lpstr>Áit Linn: a brief history</vt:lpstr>
      <vt:lpstr>What we do:</vt:lpstr>
      <vt:lpstr>Maureen, Family Therapist, Áit Linn</vt:lpstr>
      <vt:lpstr>Our Programmes</vt:lpstr>
      <vt:lpstr>Client - Áit Linn:</vt:lpstr>
      <vt:lpstr>The staff team:</vt:lpstr>
      <vt:lpstr>A graphic representation of clients’ progress in the project</vt:lpstr>
      <vt:lpstr>Treatment Programme</vt:lpstr>
      <vt:lpstr/>
      <vt:lpstr>The Work over the Past Two Years:</vt:lpstr>
      <vt:lpstr>The Breakfast Meeting</vt:lpstr>
      <vt:lpstr>The Project’s Other Services:</vt:lpstr>
      <vt:lpstr>Students:</vt:lpstr>
      <vt:lpstr>The Way Forward:</vt:lpstr>
      <vt:lpstr>And Finally:</vt:lpstr>
      <vt:lpstr>/</vt:lpstr>
    </vt:vector>
  </TitlesOfParts>
  <Company>Ballymun alcohol community outreach ltd. company number : 507805</Company>
  <LinksUpToDate>false</LinksUpToDate>
  <CharactersWithSpaces>17544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Cumulative Annual Reports 2012-2014</dc:title>
  <dc:creator>Mara de Lacy</dc:creator>
  <cp:lastModifiedBy>Ait Linn</cp:lastModifiedBy>
  <cp:revision>3</cp:revision>
  <cp:lastPrinted>2015-04-13T14:07:00Z</cp:lastPrinted>
  <dcterms:created xsi:type="dcterms:W3CDTF">2015-05-06T10:57:00Z</dcterms:created>
  <dcterms:modified xsi:type="dcterms:W3CDTF">2015-05-06T10:57:00Z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TC034577119991</vt:lpwstr>
  </property>
</Properties>
</file>